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239"/>
        <w:spacing w:after="0" w:line="212"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35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left="560"/>
        <w:spacing w:after="0" w:line="238"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4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For the month of December 2023</w:t>
      </w:r>
    </w:p>
    <w:p>
      <w:pPr>
        <w:spacing w:after="0" w:line="17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Commission File Number: 001-41576</w:t>
      </w:r>
    </w:p>
    <w:p>
      <w:pPr>
        <w:spacing w:after="0" w:line="200" w:lineRule="exact"/>
        <w:rPr>
          <w:sz w:val="24"/>
          <w:szCs w:val="24"/>
          <w:color w:val="auto"/>
        </w:rPr>
      </w:pPr>
    </w:p>
    <w:p>
      <w:pPr>
        <w:spacing w:after="0" w:line="38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ECARX Holdings Inc.</w:t>
      </w:r>
    </w:p>
    <w:p>
      <w:pPr>
        <w:spacing w:after="0" w:line="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34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ECARX office, 2nd Floor South, International House</w:t>
      </w:r>
    </w:p>
    <w:p>
      <w:pPr>
        <w:jc w:val="center"/>
        <w:ind w:right="-239"/>
        <w:spacing w:after="0" w:line="219" w:lineRule="auto"/>
        <w:rPr>
          <w:sz w:val="20"/>
          <w:szCs w:val="20"/>
          <w:color w:val="auto"/>
        </w:rPr>
      </w:pPr>
      <w:r>
        <w:rPr>
          <w:rFonts w:ascii="Times New Roman" w:cs="Times New Roman" w:eastAsia="Times New Roman" w:hAnsi="Times New Roman"/>
          <w:sz w:val="18"/>
          <w:szCs w:val="18"/>
          <w:b w:val="1"/>
          <w:bCs w:val="1"/>
          <w:color w:val="auto"/>
        </w:rPr>
        <w:t>1 St. Katharine’s Way</w:t>
      </w:r>
    </w:p>
    <w:p>
      <w:pPr>
        <w:jc w:val="center"/>
        <w:ind w:right="-239"/>
        <w:spacing w:after="0" w:line="203" w:lineRule="auto"/>
        <w:rPr>
          <w:sz w:val="20"/>
          <w:szCs w:val="20"/>
          <w:color w:val="auto"/>
        </w:rPr>
      </w:pPr>
      <w:r>
        <w:rPr>
          <w:rFonts w:ascii="Times New Roman" w:cs="Times New Roman" w:eastAsia="Times New Roman" w:hAnsi="Times New Roman"/>
          <w:sz w:val="18"/>
          <w:szCs w:val="18"/>
          <w:b w:val="1"/>
          <w:bCs w:val="1"/>
          <w:color w:val="auto"/>
        </w:rPr>
        <w:t>London E1W 1UN</w:t>
      </w:r>
    </w:p>
    <w:p>
      <w:pPr>
        <w:jc w:val="center"/>
        <w:ind w:right="-239"/>
        <w:spacing w:after="0" w:line="204" w:lineRule="auto"/>
        <w:rPr>
          <w:sz w:val="20"/>
          <w:szCs w:val="20"/>
          <w:color w:val="auto"/>
        </w:rPr>
      </w:pPr>
      <w:r>
        <w:rPr>
          <w:rFonts w:ascii="Times New Roman" w:cs="Times New Roman" w:eastAsia="Times New Roman" w:hAnsi="Times New Roman"/>
          <w:sz w:val="18"/>
          <w:szCs w:val="18"/>
          <w:b w:val="1"/>
          <w:bCs w:val="1"/>
          <w:color w:val="auto"/>
        </w:rPr>
        <w:t>United Kingdom</w:t>
      </w: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179" w:lineRule="exact"/>
        <w:rPr>
          <w:sz w:val="24"/>
          <w:szCs w:val="24"/>
          <w:color w:val="auto"/>
        </w:rPr>
      </w:pPr>
    </w:p>
    <w:p>
      <w:pPr>
        <w:ind w:left="4260"/>
        <w:spacing w:after="0"/>
        <w:tabs>
          <w:tab w:leader="none" w:pos="578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x</w:t>
      </w:r>
      <w:r>
        <w:rPr>
          <w:sz w:val="20"/>
          <w:szCs w:val="20"/>
          <w:color w:val="auto"/>
        </w:rPr>
        <w:tab/>
      </w:r>
      <w:r>
        <w:rPr>
          <w:rFonts w:ascii="Times New Roman" w:cs="Times New Roman" w:eastAsia="Times New Roman" w:hAnsi="Times New Roman"/>
          <w:sz w:val="21"/>
          <w:szCs w:val="21"/>
          <w:color w:val="auto"/>
        </w:rPr>
        <w:t xml:space="preserve">Form 40-F </w:t>
      </w:r>
      <w:r>
        <w:rPr>
          <w:rFonts w:ascii="Wingdings" w:cs="Wingdings" w:eastAsia="Wingdings" w:hAnsi="Wingdings"/>
          <w:sz w:val="21"/>
          <w:szCs w:val="21"/>
          <w:b w:val="1"/>
          <w:bCs w:val="1"/>
          <w:color w:val="auto"/>
        </w:rPr>
        <w:t>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164828.01T-BEISR01A - MSW</w:t>
      </w:r>
    </w:p>
    <w:p>
      <w:pPr>
        <w:sectPr>
          <w:pgSz w:w="11900" w:h="16838" w:orient="portrait"/>
          <w:cols w:equalWidth="0" w:num="1">
            <w:col w:w="11020"/>
          </w:cols>
          <w:pgMar w:left="320" w:top="1440" w:right="559" w:bottom="1440" w:gutter="0" w:footer="0" w:header="0"/>
        </w:sectPr>
      </w:pPr>
    </w:p>
    <w:bookmarkStart w:id="1" w:name="page2"/>
    <w:bookmarkEnd w:id="1"/>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600" w:type="dxa"/>
            <w:vAlign w:val="bottom"/>
          </w:tcPr>
          <w:p>
            <w:pPr>
              <w:spacing w:after="0"/>
              <w:rPr>
                <w:sz w:val="24"/>
                <w:szCs w:val="24"/>
                <w:color w:val="auto"/>
              </w:rPr>
            </w:pPr>
          </w:p>
        </w:tc>
        <w:tc>
          <w:tcPr>
            <w:tcW w:w="8940" w:type="dxa"/>
            <w:vAlign w:val="bottom"/>
          </w:tcPr>
          <w:p>
            <w:pPr>
              <w:ind w:left="31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14"/>
        </w:trPr>
        <w:tc>
          <w:tcPr>
            <w:tcW w:w="1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894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197"/>
        </w:trPr>
        <w:tc>
          <w:tcPr>
            <w:tcW w:w="1600" w:type="dxa"/>
            <w:vAlign w:val="bottom"/>
          </w:tcPr>
          <w:p>
            <w:pPr>
              <w:jc w:val="right"/>
              <w:ind w:right="1032"/>
              <w:spacing w:after="0" w:line="197" w:lineRule="exact"/>
              <w:rPr>
                <w:sz w:val="20"/>
                <w:szCs w:val="20"/>
                <w:color w:val="auto"/>
              </w:rPr>
            </w:pPr>
            <w:r>
              <w:rPr>
                <w:rFonts w:ascii="Times New Roman" w:cs="Times New Roman" w:eastAsia="Times New Roman" w:hAnsi="Times New Roman"/>
                <w:sz w:val="22"/>
                <w:szCs w:val="22"/>
                <w:color w:val="auto"/>
              </w:rPr>
              <w:t>99.1</w:t>
            </w:r>
          </w:p>
        </w:tc>
        <w:tc>
          <w:tcPr>
            <w:tcW w:w="8940" w:type="dxa"/>
            <w:vAlign w:val="bottom"/>
          </w:tcPr>
          <w:p>
            <w:pPr>
              <w:ind w:left="200"/>
              <w:spacing w:after="0" w:line="197" w:lineRule="exact"/>
              <w:rPr>
                <w:sz w:val="20"/>
                <w:szCs w:val="20"/>
                <w:color w:val="auto"/>
              </w:rPr>
            </w:pPr>
            <w:r>
              <w:rPr>
                <w:rFonts w:ascii="Times New Roman" w:cs="Times New Roman" w:eastAsia="Times New Roman" w:hAnsi="Times New Roman"/>
                <w:sz w:val="22"/>
                <w:szCs w:val="22"/>
                <w:color w:val="auto"/>
              </w:rPr>
              <w:t>Press Release—ECARX and Black Sesame Technologies Strengthen Partnership to Develop</w:t>
            </w:r>
          </w:p>
        </w:tc>
      </w:tr>
      <w:tr>
        <w:trPr>
          <w:trHeight w:val="282"/>
        </w:trPr>
        <w:tc>
          <w:tcPr>
            <w:tcW w:w="1600" w:type="dxa"/>
            <w:vAlign w:val="bottom"/>
          </w:tcPr>
          <w:p>
            <w:pPr>
              <w:spacing w:after="0"/>
              <w:rPr>
                <w:sz w:val="24"/>
                <w:szCs w:val="24"/>
                <w:color w:val="auto"/>
              </w:rPr>
            </w:pPr>
          </w:p>
        </w:tc>
        <w:tc>
          <w:tcPr>
            <w:tcW w:w="8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Intelligent Driving Ecosystem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164828.01T-BEISR01A - MSW</w:t>
      </w:r>
    </w:p>
    <w:p>
      <w:pPr>
        <w:sectPr>
          <w:pgSz w:w="11900" w:h="16838" w:orient="portrait"/>
          <w:cols w:equalWidth="0" w:num="1">
            <w:col w:w="10540"/>
          </w:cols>
          <w:pgMar w:left="320" w:top="1440" w:right="1039" w:bottom="1440" w:gutter="0" w:footer="0" w:header="0"/>
        </w:sectPr>
      </w:pPr>
    </w:p>
    <w:bookmarkStart w:id="2" w:name="page3"/>
    <w:bookmarkEnd w:id="2"/>
    <w:p>
      <w:pPr>
        <w:spacing w:after="0" w:line="12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ECARX Holdings Inc.</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340" w:type="dxa"/>
        <w:tblCellMar>
          <w:top w:w="0" w:type="dxa"/>
          <w:left w:w="0" w:type="dxa"/>
          <w:bottom w:w="0" w:type="dxa"/>
          <w:right w:w="0" w:type="dxa"/>
        </w:tblCellMar>
      </w:tblP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0" w:type="dxa"/>
            <w:vAlign w:val="bottom"/>
          </w:tcPr>
          <w:p>
            <w:pPr>
              <w:spacing w:after="0"/>
              <w:rPr>
                <w:sz w:val="24"/>
                <w:szCs w:val="24"/>
                <w:color w:val="auto"/>
              </w:rPr>
            </w:pP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Jing (Phil) Zhou</w:t>
            </w:r>
          </w:p>
        </w:tc>
      </w:tr>
      <w:tr>
        <w:trPr>
          <w:trHeight w:val="251"/>
        </w:trPr>
        <w:tc>
          <w:tcPr>
            <w:tcW w:w="6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40" w:type="dxa"/>
            <w:vAlign w:val="bottom"/>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rPr>
              <w:t>:</w:t>
            </w:r>
          </w:p>
        </w:tc>
        <w:tc>
          <w:tcPr>
            <w:tcW w:w="3840" w:type="dxa"/>
            <w:vAlign w:val="bottom"/>
          </w:tcPr>
          <w:p>
            <w:pPr>
              <w:ind w:left="60"/>
              <w:spacing w:after="0" w:line="251" w:lineRule="exact"/>
              <w:rPr>
                <w:sz w:val="20"/>
                <w:szCs w:val="20"/>
                <w:color w:val="auto"/>
              </w:rPr>
            </w:pPr>
            <w:r>
              <w:rPr>
                <w:rFonts w:ascii="Times New Roman" w:cs="Times New Roman" w:eastAsia="Times New Roman" w:hAnsi="Times New Roman"/>
                <w:sz w:val="22"/>
                <w:szCs w:val="22"/>
                <w:color w:val="auto"/>
              </w:rPr>
              <w:t>Jing (Phil) Zhou</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3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December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164828.01T-BEISR01A - MSW</w:t>
      </w:r>
    </w:p>
    <w:p>
      <w:pPr>
        <w:sectPr>
          <w:pgSz w:w="11900" w:h="16838" w:orient="portrait"/>
          <w:cols w:equalWidth="0" w:num="1">
            <w:col w:w="10660"/>
          </w:cols>
          <w:pgMar w:left="320" w:top="1440" w:right="919" w:bottom="1440" w:gutter="0" w:footer="0" w:header="0"/>
        </w:sectPr>
      </w:pPr>
    </w:p>
    <w:bookmarkStart w:id="3" w:name="page4"/>
    <w:bookmarkEnd w:id="3"/>
    <w:p>
      <w:pPr>
        <w:spacing w:after="0" w:line="186"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ECARX and Black Sesame Technologies Strengthen Partnership to Develop Intelligent Driving Ecosystem</w:t>
      </w:r>
    </w:p>
    <w:p>
      <w:pPr>
        <w:spacing w:after="0" w:line="192" w:lineRule="exact"/>
        <w:rPr>
          <w:sz w:val="20"/>
          <w:szCs w:val="20"/>
          <w:color w:val="auto"/>
        </w:rPr>
      </w:pPr>
    </w:p>
    <w:p>
      <w:pPr>
        <w:ind w:right="100"/>
        <w:spacing w:after="0" w:line="205" w:lineRule="auto"/>
        <w:rPr>
          <w:sz w:val="20"/>
          <w:szCs w:val="20"/>
          <w:color w:val="auto"/>
        </w:rPr>
      </w:pPr>
      <w:r>
        <w:rPr>
          <w:rFonts w:ascii="Calibri" w:cs="Calibri" w:eastAsia="Calibri" w:hAnsi="Calibri"/>
          <w:sz w:val="20"/>
          <w:szCs w:val="20"/>
          <w:color w:val="0A0A0A"/>
        </w:rPr>
        <w:t>SHANGHAI, China, December 22, 2023 (GLOBE NEWSWIRE) — ECARX Holdings Inc. (Nasdaq: ECX) ("ECARX"), a global mobility technology provider, today announced that it has signed a new strategic partnership agreement with Black Sesame Technologies (“Black Sesame”), a leading automotve-grade SoC and SoC-based intelligent vehicle soluton provider.</w:t>
      </w:r>
    </w:p>
    <w:p>
      <w:pPr>
        <w:spacing w:after="0" w:line="211" w:lineRule="exact"/>
        <w:rPr>
          <w:sz w:val="20"/>
          <w:szCs w:val="20"/>
          <w:color w:val="auto"/>
        </w:rPr>
      </w:pPr>
    </w:p>
    <w:p>
      <w:pPr>
        <w:jc w:val="both"/>
        <w:ind w:right="80"/>
        <w:spacing w:after="0" w:line="205" w:lineRule="auto"/>
        <w:rPr>
          <w:sz w:val="20"/>
          <w:szCs w:val="20"/>
          <w:color w:val="auto"/>
        </w:rPr>
      </w:pPr>
      <w:r>
        <w:rPr>
          <w:rFonts w:ascii="Calibri" w:cs="Calibri" w:eastAsia="Calibri" w:hAnsi="Calibri"/>
          <w:sz w:val="20"/>
          <w:szCs w:val="20"/>
          <w:color w:val="0A0A0A"/>
        </w:rPr>
        <w:t>Building upon strong track record of cooperaton, ECARX and Black Sesame will collaborate closely to integrate their respectve research and development, product, and technical resources. The strategic partnership aims at developing cutng-edge ADAS solutons that drive business growth and soluton deployment for both partes, fostering the development of an integrated intelligent driving ecosystem.</w:t>
      </w:r>
    </w:p>
    <w:p>
      <w:pPr>
        <w:spacing w:after="0" w:line="211" w:lineRule="exact"/>
        <w:rPr>
          <w:sz w:val="20"/>
          <w:szCs w:val="20"/>
          <w:color w:val="auto"/>
        </w:rPr>
      </w:pPr>
    </w:p>
    <w:p>
      <w:pPr>
        <w:spacing w:after="0" w:line="205" w:lineRule="auto"/>
        <w:rPr>
          <w:sz w:val="20"/>
          <w:szCs w:val="20"/>
          <w:color w:val="auto"/>
        </w:rPr>
      </w:pPr>
      <w:r>
        <w:rPr>
          <w:rFonts w:ascii="Calibri" w:cs="Calibri" w:eastAsia="Calibri" w:hAnsi="Calibri"/>
          <w:sz w:val="20"/>
          <w:szCs w:val="20"/>
          <w:color w:val="0A0A0A"/>
        </w:rPr>
        <w:t>Pursuant to the strategic partnership, ECARX will share valuable supply chain informaton with Black Sesame, fostering collaboraton with a wider range of vehicle brands. Together, the two partes will jointly develop demonstraton models, accelerate innovaton eforts, and push for the large-scale adopton of solutons that bring the safety, convenience, and fun of intelligent driving to a wider consumer base.</w:t>
      </w:r>
    </w:p>
    <w:p>
      <w:pPr>
        <w:spacing w:after="0" w:line="211" w:lineRule="exact"/>
        <w:rPr>
          <w:sz w:val="20"/>
          <w:szCs w:val="20"/>
          <w:color w:val="auto"/>
        </w:rPr>
      </w:pPr>
    </w:p>
    <w:p>
      <w:pPr>
        <w:ind w:right="20"/>
        <w:spacing w:after="0" w:line="203" w:lineRule="auto"/>
        <w:rPr>
          <w:sz w:val="20"/>
          <w:szCs w:val="20"/>
          <w:color w:val="auto"/>
        </w:rPr>
      </w:pPr>
      <w:r>
        <w:rPr>
          <w:rFonts w:ascii="Calibri" w:cs="Calibri" w:eastAsia="Calibri" w:hAnsi="Calibri"/>
          <w:sz w:val="20"/>
          <w:szCs w:val="20"/>
          <w:color w:val="0A0A0A"/>
        </w:rPr>
        <w:t>Ziyu Shen, co-founder, Chairman and CEO of ECARX, said, “I am delighted to see the signifcant strides that both companies have taken in deepening our partnership. Integratng Black Sesame's extensive intelligent driving capabilites into ECARX’s leading solutons will unleash unique synergies in our ecosystem. Together, we aim to generate fresh opportunites to drive innovaton, achieve widespread adopton of intelligent driving, and accelerate the intelligent transformaton of the global automotve industry."</w:t>
      </w:r>
    </w:p>
    <w:p>
      <w:pPr>
        <w:spacing w:after="0" w:line="214" w:lineRule="exact"/>
        <w:rPr>
          <w:sz w:val="20"/>
          <w:szCs w:val="20"/>
          <w:color w:val="auto"/>
        </w:rPr>
      </w:pPr>
    </w:p>
    <w:p>
      <w:pPr>
        <w:ind w:right="80"/>
        <w:spacing w:after="0" w:line="203" w:lineRule="auto"/>
        <w:rPr>
          <w:sz w:val="20"/>
          <w:szCs w:val="20"/>
          <w:color w:val="auto"/>
        </w:rPr>
      </w:pPr>
      <w:r>
        <w:rPr>
          <w:rFonts w:ascii="Calibri" w:cs="Calibri" w:eastAsia="Calibri" w:hAnsi="Calibri"/>
          <w:sz w:val="20"/>
          <w:szCs w:val="20"/>
          <w:color w:val="0A0A0A"/>
        </w:rPr>
        <w:t>Weihong Liu, co-founder and President of Black Sesame Technologies, said, "We are thrilled to embark on this strategic partnership with ECARX to jointly bring highly compettve and high-value products and solutons to the market. Black Sesame Technologies is commited to facilitatng the rapid deployment of autonomous driving solutons through our vehicle computng chips, and we will contnue to actvely seek opportunites to collaborate with industry partners to build an open ecosystem that empowers stakeholders."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ECARX</w:t>
      </w:r>
    </w:p>
    <w:p>
      <w:pPr>
        <w:jc w:val="both"/>
        <w:spacing w:after="0" w:line="195" w:lineRule="auto"/>
        <w:rPr>
          <w:sz w:val="20"/>
          <w:szCs w:val="20"/>
          <w:color w:val="auto"/>
        </w:rPr>
      </w:pPr>
      <w:r>
        <w:rPr>
          <w:rFonts w:ascii="Calibri" w:cs="Calibri" w:eastAsia="Calibri" w:hAnsi="Calibri"/>
          <w:sz w:val="20"/>
          <w:szCs w:val="20"/>
          <w:color w:val="auto"/>
        </w:rPr>
        <w:t>ECARX (Nasdaq: ECX) is a global automotve technology provider with the capabilites to deliver turnkey solutons for next-generaton smart vehicles, from the system on a chip (SoC), to central computng platorms, and sofware. As automakers develop new electric vehicle architectures from the ground up, ECARX is developing full-stack solutons to enhance the user experience, while reducing complexity and cost.</w:t>
      </w:r>
    </w:p>
    <w:p>
      <w:pPr>
        <w:spacing w:after="0" w:line="201" w:lineRule="exact"/>
        <w:rPr>
          <w:sz w:val="20"/>
          <w:szCs w:val="20"/>
          <w:color w:val="auto"/>
        </w:rPr>
      </w:pPr>
    </w:p>
    <w:p>
      <w:pPr>
        <w:jc w:val="both"/>
        <w:spacing w:after="0" w:line="207" w:lineRule="auto"/>
        <w:rPr>
          <w:sz w:val="20"/>
          <w:szCs w:val="20"/>
          <w:color w:val="auto"/>
        </w:rPr>
      </w:pPr>
      <w:r>
        <w:rPr>
          <w:rFonts w:ascii="Calibri" w:cs="Calibri" w:eastAsia="Calibri" w:hAnsi="Calibri"/>
          <w:sz w:val="20"/>
          <w:szCs w:val="20"/>
          <w:color w:val="auto"/>
        </w:rPr>
        <w:t>Founded in 2017 and listed on the Nasdaq in 2022, ECARX now has over 2,000 employees based in 11 major locatons in China, UK, USA, Sweden, Germany and Malaysia. The co-founders are two automotve entrepreneurs, Chairman and CEO Ziyu Shen, and Eric Li (Li Shufu), who is also the founder and chairman of Zhejiang Geely Holding Group — with ownership interests in global brands including Lotus, Lynk</w:t>
      </w:r>
    </w:p>
    <w:p>
      <w:pPr>
        <w:ind w:firstLine="8"/>
        <w:spacing w:after="0" w:line="196" w:lineRule="auto"/>
        <w:tabs>
          <w:tab w:leader="none" w:pos="212" w:val="left"/>
        </w:tabs>
        <w:numPr>
          <w:ilvl w:val="0"/>
          <w:numId w:val="1"/>
        </w:numPr>
        <w:rPr>
          <w:rFonts w:ascii="Calibri" w:cs="Calibri" w:eastAsia="Calibri" w:hAnsi="Calibri"/>
          <w:sz w:val="20"/>
          <w:szCs w:val="20"/>
          <w:color w:val="auto"/>
        </w:rPr>
      </w:pPr>
      <w:r>
        <w:rPr>
          <w:rFonts w:ascii="Calibri" w:cs="Calibri" w:eastAsia="Calibri" w:hAnsi="Calibri"/>
          <w:sz w:val="20"/>
          <w:szCs w:val="20"/>
          <w:color w:val="auto"/>
        </w:rPr>
        <w:t>Co, Polestar, Smart, and Volvo Cars. ECARX also works with other well-known automakers, including FAW and Dongfeng Peugeot-Citroën. To date, ECARX products can be found in over 5.6 million vehicles worldwide.</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Black Sesame Technologies</w:t>
      </w:r>
    </w:p>
    <w:p>
      <w:pPr>
        <w:jc w:val="both"/>
        <w:spacing w:after="0" w:line="195" w:lineRule="auto"/>
        <w:rPr>
          <w:sz w:val="20"/>
          <w:szCs w:val="20"/>
          <w:color w:val="auto"/>
        </w:rPr>
      </w:pPr>
      <w:r>
        <w:rPr>
          <w:rFonts w:ascii="Calibri" w:cs="Calibri" w:eastAsia="Calibri" w:hAnsi="Calibri"/>
          <w:sz w:val="20"/>
          <w:szCs w:val="20"/>
          <w:color w:val="auto"/>
        </w:rPr>
        <w:t>Black Sesame Technologies is a leading automotve-grade computng SoC and SoC-based intelligent vehicle soluton provider. The company started with the Huashan Series high-computng power SoCs for autonomous driving and recently introduced the Wudang Series cross-domain SoCs to address more diverse and sophistcated demands for advanced functonalites of intelligent vehicles. Black Sesame Technologies’ proprietary automotve-grade products and technologies empower intelligent vehicles with mission-critcal capabilites such as autonomous driving, smart cockpit, advanced imaging and interconnecton. The company ofers full-stack autonomous driving capabilites to meet</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rPr>
          <w:sz w:val="20"/>
          <w:szCs w:val="20"/>
          <w:color w:val="auto"/>
        </w:rPr>
      </w:pPr>
      <w:r>
        <w:rPr>
          <w:rFonts w:ascii="Calibri" w:cs="Calibri" w:eastAsia="Calibri" w:hAnsi="Calibri"/>
          <w:sz w:val="20"/>
          <w:szCs w:val="20"/>
          <w:color w:val="auto"/>
        </w:rPr>
        <w:t>broad customer needs through SoCs and SoC-based solutons, powered by in-house developed IP cores, algorithms and support sofware.</w:t>
      </w:r>
    </w:p>
    <w:p>
      <w:pPr>
        <w:spacing w:after="0" w:line="38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jc w:val="both"/>
        <w:spacing w:after="0" w:line="194" w:lineRule="auto"/>
        <w:rPr>
          <w:sz w:val="20"/>
          <w:szCs w:val="20"/>
          <w:color w:val="auto"/>
        </w:rPr>
      </w:pPr>
      <w:r>
        <w:rPr>
          <w:rFonts w:ascii="Calibri" w:cs="Calibri" w:eastAsia="Calibri" w:hAnsi="Calibri"/>
          <w:sz w:val="20"/>
          <w:szCs w:val="20"/>
          <w:color w:val="auto"/>
        </w:rPr>
        <w:t>This release contains statements that are forward-looking statements within the meaning of the U.S. Private Securites Litgaton Reform Act of 1995.These statements are based on management’s beliefs and expectatons as well as on assumptons made by and data currently available to management, appear in a number of places throughout this document and include statements regarding, amongst other things, results of operatons, fnancial conditon, liquidity, prospects, growth, strategies and the industry in which we operate. The use of words “expects”, “intends”, “antcipates”, “estmates”, “predicts”, “believes”, “should”, “potental”, “may”, “preliminary”, “forecast”, “objectve”, “plan”, or “target”, and other similar expressions are intended to identfy forward-looking statements. These forward-looking statements are not guarantees of future performance and are subject to a number of risks and uncertaintes that could cause actual results to difer materially, including, but not limited to statements regarding our intentons, beliefs or current expectatons concerning, among other things, results of operatons, fnancial conditon, liquidity, prospects, growth, strategies, future market conditons or economic performance and developments in the capital and credit markets and expected future fnancial performance, and the markets in which we operate.</w:t>
      </w:r>
    </w:p>
    <w:p>
      <w:pPr>
        <w:spacing w:after="0" w:line="9" w:lineRule="exact"/>
        <w:rPr>
          <w:sz w:val="20"/>
          <w:szCs w:val="20"/>
          <w:color w:val="auto"/>
        </w:rPr>
      </w:pPr>
    </w:p>
    <w:p>
      <w:pPr>
        <w:jc w:val="both"/>
        <w:spacing w:after="0" w:line="197" w:lineRule="auto"/>
        <w:rPr>
          <w:sz w:val="20"/>
          <w:szCs w:val="20"/>
          <w:color w:val="auto"/>
        </w:rPr>
      </w:pPr>
      <w:r>
        <w:rPr>
          <w:rFonts w:ascii="Calibri" w:cs="Calibri" w:eastAsia="Calibri" w:hAnsi="Calibri"/>
          <w:sz w:val="20"/>
          <w:szCs w:val="20"/>
          <w:color w:val="auto"/>
        </w:rPr>
        <w:t>For a discussion of these and other risks and uncertaintes that could cause actual results to difer materially from those expressed in any forward-looking statement, see ECARX’s flings with the U.S. Securites and Exchange Commission. ECARX undertakes no obligaton to update or revise and forward-looking statements to refect subsequent events or circumstances, except as required by applicable law.</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Contacts:</w:t>
      </w:r>
    </w:p>
    <w:p>
      <w:pPr>
        <w:spacing w:after="0" w:line="199" w:lineRule="auto"/>
        <w:rPr>
          <w:sz w:val="20"/>
          <w:szCs w:val="20"/>
          <w:color w:val="auto"/>
        </w:rPr>
      </w:pPr>
      <w:r>
        <w:rPr>
          <w:rFonts w:ascii="Calibri" w:cs="Calibri" w:eastAsia="Calibri" w:hAnsi="Calibri"/>
          <w:sz w:val="20"/>
          <w:szCs w:val="20"/>
          <w:color w:val="auto"/>
        </w:rPr>
        <w:t>ir@ecarxgroup.com</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Contacts:</w:t>
      </w:r>
    </w:p>
    <w:p>
      <w:pPr>
        <w:spacing w:after="0" w:line="199" w:lineRule="auto"/>
        <w:rPr>
          <w:sz w:val="20"/>
          <w:szCs w:val="20"/>
          <w:color w:val="auto"/>
        </w:rPr>
      </w:pPr>
      <w:r>
        <w:rPr>
          <w:rFonts w:ascii="Calibri" w:cs="Calibri" w:eastAsia="Calibri" w:hAnsi="Calibri"/>
          <w:sz w:val="20"/>
          <w:szCs w:val="20"/>
          <w:color w:val="auto"/>
        </w:rPr>
        <w:t>ecarx@blueshirtgroup.com</w:t>
      </w:r>
    </w:p>
    <w:sectPr>
      <w:pgSz w:w="11900" w:h="16838" w:orient="portrait"/>
      <w:cols w:equalWidth="0" w:num="1">
        <w:col w:w="11240"/>
      </w:cols>
      <w:pgMar w:left="320" w:top="13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2023-12-22T07:00:37Z</dcterms:created>
  <dcterms:modified xsi:type="dcterms:W3CDTF">2023-12-22T07:00:37Z</dcterms:modified>
</cp:coreProperties>
</file>