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left="560"/>
        <w:spacing w:after="0" w:line="275"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9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For the month of March 2026</w:t>
      </w:r>
    </w:p>
    <w:p>
      <w:pPr>
        <w:spacing w:after="0" w:line="27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Commission File Number: 001-41576</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ECARX Holdings Inc.</w:t>
      </w:r>
    </w:p>
    <w:p>
      <w:pPr>
        <w:spacing w:after="0" w:line="5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Second Floor North</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International House</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1 St. Katharine’s Way</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London E1W 1UN</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60" w:lineRule="exact"/>
        <w:rPr>
          <w:sz w:val="24"/>
          <w:szCs w:val="24"/>
          <w:color w:val="auto"/>
        </w:rPr>
      </w:pPr>
    </w:p>
    <w:p>
      <w:pPr>
        <w:jc w:val="center"/>
        <w:ind w:right="-219"/>
        <w:spacing w:after="0"/>
        <w:tabs>
          <w:tab w:leader="none" w:pos="300" w:val="left"/>
        </w:tabs>
        <w:rPr>
          <w:sz w:val="20"/>
          <w:szCs w:val="20"/>
          <w:color w:val="auto"/>
        </w:rPr>
      </w:pPr>
      <w:r>
        <w:rPr>
          <w:rFonts w:ascii="Times New Roman" w:cs="Times New Roman" w:eastAsia="Times New Roman" w:hAnsi="Times New Roman"/>
          <w:sz w:val="22"/>
          <w:szCs w:val="22"/>
          <w:color w:val="auto"/>
        </w:rPr>
        <w:t xml:space="preserve">Form 20-F </w:t>
      </w:r>
      <w:r>
        <w:rPr>
          <w:rFonts w:ascii="Wingdings" w:cs="Wingdings" w:eastAsia="Wingdings" w:hAnsi="Wingdings"/>
          <w:sz w:val="22"/>
          <w:szCs w:val="22"/>
          <w:b w:val="1"/>
          <w:bCs w:val="1"/>
          <w:color w:val="auto"/>
        </w:rPr>
        <w:t>x</w:t>
      </w:r>
      <w:r>
        <w:rPr>
          <w:sz w:val="20"/>
          <w:szCs w:val="20"/>
          <w:color w:val="auto"/>
        </w:rPr>
        <w:tab/>
      </w:r>
      <w:r>
        <w:rPr>
          <w:rFonts w:ascii="Times New Roman" w:cs="Times New Roman" w:eastAsia="Times New Roman" w:hAnsi="Times New Roman"/>
          <w:sz w:val="21"/>
          <w:szCs w:val="21"/>
          <w:color w:val="auto"/>
        </w:rPr>
        <w:t xml:space="preserve">Form 40-F </w:t>
      </w:r>
      <w:r>
        <w:rPr>
          <w:rFonts w:ascii="Wingdings" w:cs="Wingdings" w:eastAsia="Wingdings" w:hAnsi="Wingdings"/>
          <w:sz w:val="21"/>
          <w:szCs w:val="21"/>
          <w:b w:val="1"/>
          <w:bCs w:val="1"/>
          <w:color w:val="auto"/>
        </w:rPr>
        <w:t>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ID: 4920-4519-0724 v.3.25 - MSW</w:t>
      </w:r>
    </w:p>
    <w:p>
      <w:pPr>
        <w:sectPr>
          <w:pgSz w:w="11900" w:h="16838" w:orient="portrait"/>
          <w:cols w:equalWidth="0" w:num="1">
            <w:col w:w="11020"/>
          </w:cols>
          <w:pgMar w:left="320" w:top="1440" w:right="559" w:bottom="1440" w:gutter="0" w:footer="0" w:header="0"/>
        </w:sectPr>
      </w:pPr>
    </w:p>
    <w:bookmarkStart w:id="1" w:name="page2"/>
    <w:bookmarkEnd w:id="1"/>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INFORMATION CONTAINED IN THIS REPORT ON FORM 6-K</w:t>
      </w:r>
    </w:p>
    <w:p>
      <w:pPr>
        <w:spacing w:after="0" w:line="2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This current report on Form 6-K, including the exhibits hereto, is incorporated by reference into the post-effective amendment No. 2 to the registration statement on Form F-1 on Form F-3 (File No. 333-271861) and registration statement on Form F-3 (File No. 333-288811) and shall be a part of such registration statements from the date on which this current report is furnished, to the extent not superseded by documents or reports subsequently filed or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4920-4519-0724 v.3.25 - MSW</w:t>
      </w:r>
    </w:p>
    <w:p>
      <w:pPr>
        <w:sectPr>
          <w:pgSz w:w="11900" w:h="16838" w:orient="portrait"/>
          <w:cols w:equalWidth="0" w:num="1">
            <w:col w:w="11140"/>
          </w:cols>
          <w:pgMar w:left="320" w:top="1440" w:right="439" w:bottom="1440" w:gutter="0" w:footer="0" w:header="0"/>
        </w:sectPr>
      </w:pPr>
    </w:p>
    <w:bookmarkStart w:id="2" w:name="page3"/>
    <w:bookmarkEnd w:id="2"/>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940" w:type="dxa"/>
            <w:vAlign w:val="bottom"/>
          </w:tcPr>
          <w:p>
            <w:pPr>
              <w:ind w:left="31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575"/>
        </w:trPr>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8940" w:type="dxa"/>
            <w:vAlign w:val="bottom"/>
            <w:tcBorders>
              <w:bottom w:val="single" w:sz="8" w:color="auto"/>
            </w:tcBorders>
          </w:tcPr>
          <w:p>
            <w:pPr>
              <w:ind w:left="4000"/>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43"/>
        </w:trPr>
        <w:tc>
          <w:tcPr>
            <w:tcW w:w="1600" w:type="dxa"/>
            <w:vAlign w:val="bottom"/>
            <w:gridSpan w:val="3"/>
          </w:tcPr>
          <w:p>
            <w:pPr>
              <w:jc w:val="right"/>
              <w:ind w:right="1140"/>
              <w:spacing w:after="0" w:line="223" w:lineRule="exact"/>
              <w:rPr>
                <w:sz w:val="20"/>
                <w:szCs w:val="20"/>
                <w:color w:val="auto"/>
              </w:rPr>
            </w:pPr>
            <w:r>
              <w:rPr>
                <w:rFonts w:ascii="Times New Roman" w:cs="Times New Roman" w:eastAsia="Times New Roman" w:hAnsi="Times New Roman"/>
                <w:sz w:val="22"/>
                <w:szCs w:val="22"/>
                <w:color w:val="auto"/>
              </w:rPr>
              <w:t>99.</w:t>
            </w:r>
            <w:r>
              <w:rPr>
                <w:rFonts w:ascii="Times New Roman" w:cs="Times New Roman" w:eastAsia="Times New Roman" w:hAnsi="Times New Roman"/>
                <w:sz w:val="22"/>
                <w:szCs w:val="22"/>
                <w:u w:val="single" w:color="auto"/>
                <w:color w:val="auto"/>
              </w:rPr>
              <w:t>1</w:t>
            </w:r>
          </w:p>
        </w:tc>
        <w:tc>
          <w:tcPr>
            <w:tcW w:w="8940" w:type="dxa"/>
            <w:vAlign w:val="bottom"/>
          </w:tcPr>
          <w:p>
            <w:pPr>
              <w:ind w:left="200"/>
              <w:spacing w:after="0" w:line="223" w:lineRule="exact"/>
              <w:rPr>
                <w:sz w:val="20"/>
                <w:szCs w:val="20"/>
                <w:color w:val="auto"/>
              </w:rPr>
            </w:pPr>
            <w:r>
              <w:rPr>
                <w:rFonts w:ascii="Times New Roman" w:cs="Times New Roman" w:eastAsia="Times New Roman" w:hAnsi="Times New Roman"/>
                <w:sz w:val="22"/>
                <w:szCs w:val="22"/>
                <w:color w:val="auto"/>
                <w:w w:val="99"/>
              </w:rPr>
              <w:t>Press Release – ECARX Strengthens Global Leadership Team with Appointment of Dylan D. Jeng</w:t>
            </w:r>
          </w:p>
        </w:tc>
      </w:tr>
      <w:tr>
        <w:trPr>
          <w:trHeight w:val="329"/>
        </w:trPr>
        <w:tc>
          <w:tcPr>
            <w:tcW w:w="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8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as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4920-4519-0724 v.3.25 - MSW</w:t>
      </w:r>
    </w:p>
    <w:p>
      <w:pPr>
        <w:sectPr>
          <w:pgSz w:w="11900" w:h="16838" w:orient="portrait"/>
          <w:cols w:equalWidth="0" w:num="1">
            <w:col w:w="10540"/>
          </w:cols>
          <w:pgMar w:left="320" w:top="1440" w:right="1039" w:bottom="1440" w:gutter="0" w:footer="0" w:header="0"/>
        </w:sectPr>
      </w:pPr>
    </w:p>
    <w:bookmarkStart w:id="3" w:name="page4"/>
    <w:bookmarkEnd w:id="3"/>
    <w:p>
      <w:pPr>
        <w:spacing w:after="0" w:line="154"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6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ECARX Holdings Inc.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3340" w:type="dxa"/>
        <w:tblCellMar>
          <w:top w:w="0" w:type="dxa"/>
          <w:left w:w="0" w:type="dxa"/>
          <w:bottom w:w="0" w:type="dxa"/>
          <w:right w:w="0" w:type="dxa"/>
        </w:tblCellMar>
      </w:tblPr>
      <w:tr>
        <w:trPr>
          <w:trHeight w:val="291"/>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3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 Ziyu Shen</w:t>
            </w:r>
          </w:p>
        </w:tc>
      </w:tr>
      <w:tr>
        <w:trPr>
          <w:trHeight w:val="29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Ziyu Shen</w:t>
            </w:r>
          </w:p>
        </w:tc>
      </w:tr>
      <w:tr>
        <w:trPr>
          <w:trHeight w:val="31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Chairman and Chief Executive Officer</w:t>
            </w: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4920-4519-0724 v.3.25 - MSW</w:t>
      </w:r>
    </w:p>
    <w:p>
      <w:pPr>
        <w:sectPr>
          <w:pgSz w:w="11900" w:h="16838" w:orient="portrait"/>
          <w:cols w:equalWidth="0" w:num="1">
            <w:col w:w="10660"/>
          </w:cols>
          <w:pgMar w:left="320" w:top="1440" w:right="919" w:bottom="1440" w:gutter="0" w:footer="0" w:header="0"/>
        </w:sectPr>
      </w:pPr>
    </w:p>
    <w:bookmarkStart w:id="4" w:name="page5"/>
    <w:bookmarkEnd w:id="4"/>
    <w:p>
      <w:pPr>
        <w:spacing w:after="0" w:line="195" w:lineRule="exact"/>
        <w:rPr>
          <w:sz w:val="20"/>
          <w:szCs w:val="20"/>
          <w:color w:val="auto"/>
        </w:rPr>
      </w:pPr>
    </w:p>
    <w:p>
      <w:pPr>
        <w:ind w:right="80"/>
        <w:spacing w:after="0" w:line="332" w:lineRule="auto"/>
        <w:rPr>
          <w:sz w:val="20"/>
          <w:szCs w:val="20"/>
          <w:color w:val="auto"/>
        </w:rPr>
      </w:pPr>
      <w:r>
        <w:rPr>
          <w:rFonts w:ascii="Arial" w:cs="Arial" w:eastAsia="Arial" w:hAnsi="Arial"/>
          <w:sz w:val="32"/>
          <w:szCs w:val="32"/>
          <w:b w:val="1"/>
          <w:bCs w:val="1"/>
          <w:color w:val="auto"/>
        </w:rPr>
        <w:t>ECARX Strengthens Global Leadership Team with Appointment of Dylan D. Jeng as Chief Financial Officer</w:t>
      </w:r>
    </w:p>
    <w:p>
      <w:pPr>
        <w:spacing w:after="0" w:line="1" w:lineRule="exact"/>
        <w:rPr>
          <w:sz w:val="20"/>
          <w:szCs w:val="20"/>
          <w:color w:val="auto"/>
        </w:rPr>
      </w:pPr>
    </w:p>
    <w:p>
      <w:pPr>
        <w:ind w:right="860"/>
        <w:spacing w:after="0" w:line="326" w:lineRule="auto"/>
        <w:rPr>
          <w:sz w:val="20"/>
          <w:szCs w:val="20"/>
          <w:color w:val="auto"/>
        </w:rPr>
      </w:pPr>
      <w:r>
        <w:rPr>
          <w:rFonts w:ascii="Arial" w:cs="Arial" w:eastAsia="Arial" w:hAnsi="Arial"/>
          <w:sz w:val="20"/>
          <w:szCs w:val="20"/>
          <w:b w:val="1"/>
          <w:bCs w:val="1"/>
          <w:color w:val="auto"/>
        </w:rPr>
        <w:t xml:space="preserve">London, March 23 2026 </w:t>
      </w:r>
      <w:r>
        <w:rPr>
          <w:rFonts w:ascii="Arial" w:cs="Arial" w:eastAsia="Arial" w:hAnsi="Arial"/>
          <w:sz w:val="20"/>
          <w:szCs w:val="20"/>
          <w:color w:val="auto"/>
        </w:rPr>
        <w:t>– ECARX Holdings, Inc. (Nasdaq: ECX),a global mobility tech provider, today announced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appointment of </w:t>
      </w:r>
      <w:r>
        <w:rPr>
          <w:rFonts w:ascii="Arial" w:cs="Arial" w:eastAsia="Arial" w:hAnsi="Arial"/>
          <w:sz w:val="20"/>
          <w:szCs w:val="20"/>
          <w:b w:val="1"/>
          <w:bCs w:val="1"/>
          <w:color w:val="auto"/>
        </w:rPr>
        <w:t>Dylan D. Jeng</w:t>
      </w:r>
      <w:r>
        <w:rPr>
          <w:rFonts w:ascii="Arial" w:cs="Arial" w:eastAsia="Arial" w:hAnsi="Arial"/>
          <w:sz w:val="20"/>
          <w:szCs w:val="20"/>
          <w:color w:val="auto"/>
        </w:rPr>
        <w:t xml:space="preserve"> as Chief Financial Officer (CFO), effective immediately.</w:t>
      </w:r>
    </w:p>
    <w:p>
      <w:pPr>
        <w:spacing w:after="0" w:line="390" w:lineRule="exact"/>
        <w:rPr>
          <w:sz w:val="20"/>
          <w:szCs w:val="20"/>
          <w:color w:val="auto"/>
        </w:rPr>
      </w:pPr>
    </w:p>
    <w:p>
      <w:pPr>
        <w:jc w:val="both"/>
        <w:ind w:right="380"/>
        <w:spacing w:after="0" w:line="298" w:lineRule="auto"/>
        <w:rPr>
          <w:sz w:val="20"/>
          <w:szCs w:val="20"/>
          <w:color w:val="auto"/>
        </w:rPr>
      </w:pPr>
      <w:r>
        <w:rPr>
          <w:rFonts w:ascii="Arial" w:cs="Arial" w:eastAsia="Arial" w:hAnsi="Arial"/>
          <w:sz w:val="20"/>
          <w:szCs w:val="20"/>
          <w:color w:val="auto"/>
        </w:rPr>
        <w:t>In his role as CFO, Dylan Jeng will be based in ECARX’s Singapore office where he will oversee all global financial strategy, planning, treasury, investor relations, and financial operations, driving financial discipline and scalability to support ECARX’s accelerated global expansion.</w:t>
      </w:r>
    </w:p>
    <w:p>
      <w:pPr>
        <w:spacing w:after="0" w:line="200" w:lineRule="exact"/>
        <w:rPr>
          <w:sz w:val="20"/>
          <w:szCs w:val="20"/>
          <w:color w:val="auto"/>
        </w:rPr>
      </w:pPr>
    </w:p>
    <w:p>
      <w:pPr>
        <w:spacing w:after="0" w:line="226" w:lineRule="exact"/>
        <w:rPr>
          <w:sz w:val="20"/>
          <w:szCs w:val="20"/>
          <w:color w:val="auto"/>
        </w:rPr>
      </w:pPr>
    </w:p>
    <w:p>
      <w:pPr>
        <w:spacing w:after="0" w:line="293" w:lineRule="auto"/>
        <w:rPr>
          <w:sz w:val="20"/>
          <w:szCs w:val="20"/>
          <w:color w:val="auto"/>
        </w:rPr>
      </w:pPr>
      <w:r>
        <w:rPr>
          <w:rFonts w:ascii="Arial" w:cs="Arial" w:eastAsia="Arial" w:hAnsi="Arial"/>
          <w:sz w:val="20"/>
          <w:szCs w:val="20"/>
          <w:color w:val="auto"/>
        </w:rPr>
        <w:t>Mr. Jeng brings over two decades of international financial leadership experience across the technology, pharmaceutical sectors with considerable experience at major accounting firms. Mr. Jeng comes with a proven track record in scaling global businesses, optimizing capital allocation, and delivering sustainable financial performance. His expertise spans cross-border financial management, global supply chain finance, investor relations, and prudent financial strategies, all critical capabilities as ECARX executes on its global growth strategy, including expanding its footprint across Europe, Southeast Asia, and the Americas, and deepening partnerships with leading global OEMs.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Ziyu Shen, CEO of ECARX said:</w:t>
      </w:r>
    </w:p>
    <w:p>
      <w:pPr>
        <w:spacing w:after="0" w:line="148" w:lineRule="exact"/>
        <w:rPr>
          <w:sz w:val="20"/>
          <w:szCs w:val="20"/>
          <w:color w:val="auto"/>
        </w:rPr>
      </w:pPr>
    </w:p>
    <w:p>
      <w:pPr>
        <w:spacing w:after="0" w:line="296" w:lineRule="auto"/>
        <w:rPr>
          <w:sz w:val="20"/>
          <w:szCs w:val="20"/>
          <w:color w:val="auto"/>
        </w:rPr>
      </w:pPr>
      <w:r>
        <w:rPr>
          <w:rFonts w:ascii="Arial" w:cs="Arial" w:eastAsia="Arial" w:hAnsi="Arial"/>
          <w:sz w:val="20"/>
          <w:szCs w:val="20"/>
          <w:color w:val="auto"/>
        </w:rPr>
        <w:t>“Dylan’s exceptional global financial acumen and deep industry knowledge make him the ideal leader to steer ECARX’s financial strategy as we enter our next phase of global growth. As a global mobility tech company with operations across 13 key markets worldwide, we are building a world-class executive team to match our global ambitions. Dylan’s leadership and experience will be instrumental in driving financial efficiency, unlocking high value growth, and delivering long term value for our shareholders, partners and employees.”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On his appointment, Dylan Jeng commented:</w:t>
      </w:r>
    </w:p>
    <w:p>
      <w:pPr>
        <w:spacing w:after="0" w:line="164" w:lineRule="exact"/>
        <w:rPr>
          <w:sz w:val="20"/>
          <w:szCs w:val="20"/>
          <w:color w:val="auto"/>
        </w:rPr>
      </w:pPr>
    </w:p>
    <w:p>
      <w:pPr>
        <w:ind w:right="200"/>
        <w:spacing w:after="0" w:line="293" w:lineRule="auto"/>
        <w:rPr>
          <w:sz w:val="20"/>
          <w:szCs w:val="20"/>
          <w:color w:val="auto"/>
        </w:rPr>
      </w:pPr>
      <w:r>
        <w:rPr>
          <w:rFonts w:ascii="Arial" w:cs="Arial" w:eastAsia="Arial" w:hAnsi="Arial"/>
          <w:sz w:val="20"/>
          <w:szCs w:val="20"/>
          <w:color w:val="auto"/>
        </w:rPr>
        <w:t>“I am thrilled to join ECARX during this transformative moment for the automotive industry, and the company. ECARX has established itself as a pioneer in full-stack intelligent automotive solutions, with a unique global footprint, industry-leading technology, and partnerships with some of the world’s most renowned automakers. I look forward to working closely with the CEO, Zi Yu Shen, and the greater ECARX leadership team to build on the company’s strong foundation and align our financial strategy with our vision to accelerate the</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world’s transition to software-defined vehicles.”</w:t>
      </w:r>
    </w:p>
    <w:p>
      <w:pPr>
        <w:sectPr>
          <w:pgSz w:w="11900" w:h="16838" w:orient="portrait"/>
          <w:cols w:equalWidth="0" w:num="1">
            <w:col w:w="11220"/>
          </w:cols>
          <w:pgMar w:left="320" w:top="1440" w:right="359" w:bottom="1440" w:gutter="0" w:footer="0" w:header="0"/>
        </w:sectPr>
      </w:pPr>
    </w:p>
    <w:bookmarkStart w:id="5" w:name="page6"/>
    <w:bookmarkEnd w:id="5"/>
    <w:p>
      <w:pPr>
        <w:spacing w:after="0" w:line="12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About ECARX</w:t>
      </w:r>
    </w:p>
    <w:p>
      <w:pPr>
        <w:spacing w:after="0" w:line="179" w:lineRule="exact"/>
        <w:rPr>
          <w:sz w:val="20"/>
          <w:szCs w:val="20"/>
          <w:color w:val="auto"/>
        </w:rPr>
      </w:pPr>
    </w:p>
    <w:p>
      <w:pPr>
        <w:ind w:right="400"/>
        <w:spacing w:after="0" w:line="301" w:lineRule="auto"/>
        <w:rPr>
          <w:sz w:val="20"/>
          <w:szCs w:val="20"/>
          <w:color w:val="auto"/>
        </w:rPr>
      </w:pPr>
      <w:r>
        <w:rPr>
          <w:rFonts w:ascii="Arial" w:cs="Arial" w:eastAsia="Arial" w:hAnsi="Arial"/>
          <w:sz w:val="20"/>
          <w:szCs w:val="20"/>
          <w:color w:val="auto"/>
        </w:rPr>
        <w:t>ECARX (Nasdaq: ECX) is a global automotive technology provider with capabilities to deliver turnkey solutions for next– generation smart vehicles, from the system–on–a–chip (SoC) to central computing platforms and software. As automakers develop new vehicle architectures, ECARX is developing full–stack solutions to enhance the user experience while reducing complexity and cost.</w:t>
      </w:r>
    </w:p>
    <w:p>
      <w:pPr>
        <w:spacing w:after="0" w:line="61" w:lineRule="exact"/>
        <w:rPr>
          <w:sz w:val="20"/>
          <w:szCs w:val="20"/>
          <w:color w:val="auto"/>
        </w:rPr>
      </w:pPr>
    </w:p>
    <w:p>
      <w:pPr>
        <w:jc w:val="both"/>
        <w:ind w:right="160"/>
        <w:spacing w:after="0" w:line="305" w:lineRule="auto"/>
        <w:rPr>
          <w:sz w:val="20"/>
          <w:szCs w:val="20"/>
          <w:color w:val="auto"/>
        </w:rPr>
      </w:pPr>
      <w:r>
        <w:rPr>
          <w:rFonts w:ascii="Arial" w:cs="Arial" w:eastAsia="Arial" w:hAnsi="Arial"/>
          <w:sz w:val="20"/>
          <w:szCs w:val="20"/>
          <w:color w:val="auto"/>
        </w:rPr>
        <w:t>Founded in 2017 and listed on the Nasdaq stock exchange in 2022, ECARX now has over 1,400 employees based in 13 major locations in UK, USA, Brazil, Singapore, Malaysia, Sweden, China and Germany. To date, ECARX products ands services can be found in approximately 11 million vehicles worldwide.</w:t>
      </w: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Safe Harbor Statement</w:t>
      </w:r>
    </w:p>
    <w:p>
      <w:pPr>
        <w:spacing w:after="0" w:line="192" w:lineRule="exact"/>
        <w:rPr>
          <w:sz w:val="20"/>
          <w:szCs w:val="20"/>
          <w:color w:val="auto"/>
        </w:rPr>
      </w:pPr>
    </w:p>
    <w:p>
      <w:pPr>
        <w:spacing w:after="0" w:line="307" w:lineRule="auto"/>
        <w:rPr>
          <w:sz w:val="20"/>
          <w:szCs w:val="20"/>
          <w:color w:val="auto"/>
        </w:rPr>
      </w:pPr>
      <w:r>
        <w:rPr>
          <w:rFonts w:ascii="Arial" w:cs="Arial" w:eastAsia="Arial" w:hAnsi="Arial"/>
          <w:sz w:val="19"/>
          <w:szCs w:val="19"/>
          <w:color w:val="auto"/>
        </w:rPr>
        <w:t>This press release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future market conditions or economic performance and developments in the capital and credit markets and expected future financial performance, and the markets in which we operate.</w:t>
      </w:r>
    </w:p>
    <w:p>
      <w:pPr>
        <w:spacing w:after="0" w:line="58" w:lineRule="exact"/>
        <w:rPr>
          <w:sz w:val="20"/>
          <w:szCs w:val="20"/>
          <w:color w:val="auto"/>
        </w:rPr>
      </w:pPr>
    </w:p>
    <w:p>
      <w:pPr>
        <w:ind w:right="180"/>
        <w:spacing w:after="0" w:line="297" w:lineRule="auto"/>
        <w:rPr>
          <w:sz w:val="20"/>
          <w:szCs w:val="20"/>
          <w:color w:val="auto"/>
        </w:rPr>
      </w:pPr>
      <w:r>
        <w:rPr>
          <w:rFonts w:ascii="Arial" w:cs="Arial" w:eastAsia="Arial" w:hAnsi="Arial"/>
          <w:sz w:val="20"/>
          <w:szCs w:val="20"/>
          <w:color w:val="auto"/>
        </w:rPr>
        <w:t>For a discussion of these and other risks and uncertainties that could cause actual results to differ materially from those expressed in any forward-looking statement, see ECARX’s filings with the U.S. Securities and Exchange Commission. ECARX undertakes no obligation to update or revise forward-looking statements to reflect subsequent events or circumstances, except as required by applicable law.</w:t>
      </w:r>
    </w:p>
    <w:p>
      <w:pPr>
        <w:spacing w:after="0" w:line="23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Media Contacts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Ash Sutcliffe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Head of Global PR, ECARX</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Email: ash.sutcliffe@ecarxgroup.com</w:t>
      </w:r>
    </w:p>
    <w:p>
      <w:pPr>
        <w:spacing w:after="0" w:line="31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Investor Relations Contact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Gillian Tiltman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Head of Investor Relations, ECARX</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Email: gillian.tiltman@ecarxgroup.com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2026-03-23T06:13:05Z</dcterms:created>
  <dcterms:modified xsi:type="dcterms:W3CDTF">2026-03-23T06:13:05Z</dcterms:modified>
</cp:coreProperties>
</file>