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September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9014" w:type="dxa"/>
        <w:jc w:val="left"/>
        <w:tblInd w:w="0" w:type="dxa"/>
        <w:tblLayout w:type="fixed"/>
        <w:tblCellMar>
          <w:top w:w="28" w:type="dxa"/>
          <w:left w:w="28" w:type="dxa"/>
          <w:bottom w:w="28" w:type="dxa"/>
          <w:right w:w="28" w:type="dxa"/>
        </w:tblCellMar>
      </w:tblPr>
      <w:tblGrid>
        <w:gridCol w:w="466"/>
        <w:gridCol w:w="410"/>
        <w:gridCol w:w="413"/>
        <w:gridCol w:w="2263"/>
        <w:gridCol w:w="2263"/>
        <w:gridCol w:w="3199"/>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77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carx-20260630.htm">
              <w:r>
                <w:rPr>
                  <w:rStyle w:val="InternetLink"/>
                  <w:rFonts w:ascii="Times New Roman;serif" w:hAnsi="Times New Roman;serif"/>
                  <w:b w:val="false"/>
                  <w:color w:val="000000"/>
                  <w:sz w:val="24"/>
                  <w:u w:val="single"/>
                </w:rPr>
                <w:t>99.1</w:t>
              </w:r>
            </w:hyperlink>
          </w:p>
        </w:tc>
        <w:tc>
          <w:tcPr>
            <w:tcW w:w="7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Interim report of ECARX Holdings Inc. for the six months ended June 30, 2026</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September 28,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ECARX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REPORT FOR THE SIX MONTHS ENDED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PRELIMINARY NOTE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as of and for the six-months ended June 30, 2026 and June 30, 2025, included herein, are prepared in accordance with accounting principles generally accepted in the United States of America and are reported in U.S. dollars (“US$”). These should be read in conjunction with our audited financial statements as of and for the year ended December 31, 2025 filed with the U.S. Securities and Exchange Commission (the “SEC”) on Form 20-F on March 30, 2026 (the “2025 Annual Report”).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document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regulatory environment and changes in laws, regulations or policies in the jurisdictions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overall economic environment and general market and economic conditions in the jurisdictions in which we operate and beyond;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and results of the research and development of our products and services, as well as of their manufacturing, launch, commercialization and delivery;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conditions and outlook of the automobile and automotive intelligence industries in China and globally;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relationships with automotive OEMs, Tier 1 suppliers, and our other customers, suppliers, other business partners and stakeholders;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compete in highly competitive industries and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continue to adjust our offerings to meet market demand, attract customers to choose our products and services and grow our ecosystem;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execute our strategies, manage growth and maintain our corporate culture as we grow;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anticipated investments in new products, services, collaboration arrangements, technologies and strategic acquisitions, and the effect of these investments on our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needs for capital and the availability of financing and capital to fund these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Anticipated technology trends and developments and our ability to address those trends and developments with our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safety, price-competitiveness, quality and breadth of our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key personnel and the inability to replace such personnel on a timely basis or on acceptable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Man-made or natural disasters, health epidemics, and other outbreaks including war, acts of international or domestic terrorism, civil disturbances, occurrences of catastrophic events and acts of God such as floods, earthquakes, wildfires, typhoons and other adverse weather and natural conditions that affect our business or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Exchange rate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interest rates or rates of inflation;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Legal, regulatory and other proceedings;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future financing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foregoing factors, you should also carefully consider the other risks and uncertainties described under “Item 3. Key Information – D. Risk Factors” in our 2025 Annual Report, as well as in other documents filed by us from time to time with the SEC.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OPERATION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our consolidated financial statements and the related notes contained in our 2025 Annual Report. This document, including the discussion below, concerns our unaudited financial information as of June 30, 2026 and for the six months ended June 30, 2026 and 2025. The discussion of our financial information for the years ended December 31 2023, 2024 and 2025 is included in our 2025 Annual Report. Capitalized terms used but not defined herein shall have the meanings ascribed to them in the 2025 Annual Report. The following discussion contains forward-looking statements that reflect our plans, estimates, and beliefs that involve risks and uncertainties. See the section titled “Forward-looking Statements” in this document for cautions about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with line items in absolute amount.</w:t>
      </w:r>
    </w:p>
    <w:tbl>
      <w:tblPr>
        <w:tblW w:w="6942" w:type="dxa"/>
        <w:jc w:val="left"/>
        <w:tblInd w:w="0" w:type="dxa"/>
        <w:tblLayout w:type="fixed"/>
        <w:tblCellMar>
          <w:top w:w="28" w:type="dxa"/>
          <w:left w:w="28" w:type="dxa"/>
          <w:bottom w:w="28" w:type="dxa"/>
          <w:right w:w="28" w:type="dxa"/>
        </w:tblCellMar>
      </w:tblPr>
      <w:tblGrid>
        <w:gridCol w:w="1420"/>
        <w:gridCol w:w="1253"/>
        <w:gridCol w:w="1256"/>
        <w:gridCol w:w="564"/>
        <w:gridCol w:w="336"/>
        <w:gridCol w:w="224"/>
        <w:gridCol w:w="224"/>
        <w:gridCol w:w="224"/>
        <w:gridCol w:w="224"/>
        <w:gridCol w:w="564"/>
        <w:gridCol w:w="336"/>
        <w:gridCol w:w="317"/>
      </w:tblGrid>
      <w:tr>
        <w:trPr/>
        <w:tc>
          <w:tcPr>
            <w:tcW w:w="142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Sales of goods revenues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Software license revenues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Service revenues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323,281</w:t>
            </w: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356,682</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Cost of goods sold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Cost of software licenses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Cost of services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(273,280)</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(283,969)</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50,001</w:t>
            </w: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72,713</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Research and development expenses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Selling, general and administrative expenses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Others,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(115,153)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(91,883)</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(65,152)</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(70,587)</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(21,960)</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(72,639)</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(23,001)</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0205" w:type="dxa"/>
        <w:jc w:val="left"/>
        <w:tblInd w:w="0" w:type="dxa"/>
        <w:tblLayout w:type="fixed"/>
        <w:tblCellMar>
          <w:top w:w="28" w:type="dxa"/>
          <w:left w:w="28" w:type="dxa"/>
          <w:bottom w:w="28" w:type="dxa"/>
          <w:right w:w="28" w:type="dxa"/>
        </w:tblCellMar>
      </w:tblPr>
      <w:tblGrid>
        <w:gridCol w:w="1789"/>
        <w:gridCol w:w="1532"/>
        <w:gridCol w:w="1540"/>
        <w:gridCol w:w="541"/>
        <w:gridCol w:w="300"/>
        <w:gridCol w:w="212"/>
        <w:gridCol w:w="212"/>
        <w:gridCol w:w="212"/>
        <w:gridCol w:w="212"/>
        <w:gridCol w:w="541"/>
        <w:gridCol w:w="300"/>
        <w:gridCol w:w="212"/>
        <w:gridCol w:w="109"/>
        <w:gridCol w:w="109"/>
        <w:gridCol w:w="109"/>
        <w:gridCol w:w="393"/>
        <w:gridCol w:w="393"/>
        <w:gridCol w:w="131"/>
        <w:gridCol w:w="109"/>
        <w:gridCol w:w="109"/>
        <w:gridCol w:w="109"/>
        <w:gridCol w:w="435"/>
        <w:gridCol w:w="436"/>
        <w:gridCol w:w="160"/>
      </w:tblGrid>
      <w:tr>
        <w:trPr/>
        <w:tc>
          <w:tcPr>
            <w:tcW w:w="178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of Goods Revenues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251,942</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310,150</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58,208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computing platform</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SoC core modules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and other products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License Revenues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26,787</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2,290</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(24,497)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44,552</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44,242</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computing platform–design and development service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Connectivity service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323,281</w:t>
            </w: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356,682</w:t>
            </w: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33,401</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revenues increased by US$33.4 million from US$323.3 million for the six months ended June 30, 2025 to US$356.7 million for the six months ended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Sales of Goods Revenues. </w:t>
      </w:r>
      <w:r>
        <w:rPr>
          <w:rFonts w:ascii="Times New Roman;serif" w:hAnsi="Times New Roman;serif"/>
          <w:b w:val="false"/>
          <w:color w:val="000000"/>
          <w:sz w:val="20"/>
        </w:rPr>
        <w:t>Sales of goods revenues increased by US$58.2 million, primarily driven by three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factors: (i) the growing demand outside China, (ii) a shift in product mix toward a higher proportion of automotive computing platform products, which carry a greater unit price relative to SoC core module products, and (iii) the pricing adjustment implemented to offset the impact of elevated memory costs.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 xml:space="preserve">Software License Revenues. </w:t>
      </w:r>
      <w:r>
        <w:rPr>
          <w:rFonts w:ascii="Times New Roman;serif" w:hAnsi="Times New Roman;serif"/>
          <w:b w:val="false"/>
          <w:color w:val="000000"/>
          <w:sz w:val="20"/>
        </w:rPr>
        <w:t>Software license service revenues decreased by US$24.5 million from US$26.8 million for the six months ended June 30, 2025 to US$2.3 million for the six months ended June 30, 2026. The difference is attributable to a one-time software license revenue of US$25 million recorded in the first quarter of last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Service Revenues. </w:t>
      </w:r>
      <w:r>
        <w:rPr>
          <w:rFonts w:ascii="Times New Roman;serif" w:hAnsi="Times New Roman;serif"/>
          <w:b w:val="false"/>
          <w:color w:val="000000"/>
          <w:sz w:val="20"/>
        </w:rPr>
        <w:t>Service revenues decreased slightly by US$0.3 million, mainly due to the growth in revenue from non-recurring engineering services contracts, partially offset by a decrease in overseas connectivity service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tbl>
      <w:tblPr>
        <w:tblW w:w="7270" w:type="dxa"/>
        <w:jc w:val="left"/>
        <w:tblInd w:w="0" w:type="dxa"/>
        <w:tblLayout w:type="fixed"/>
        <w:tblCellMar>
          <w:top w:w="28" w:type="dxa"/>
          <w:left w:w="28" w:type="dxa"/>
          <w:bottom w:w="28" w:type="dxa"/>
          <w:right w:w="28" w:type="dxa"/>
        </w:tblCellMar>
      </w:tblPr>
      <w:tblGrid>
        <w:gridCol w:w="765"/>
        <w:gridCol w:w="673"/>
        <w:gridCol w:w="677"/>
        <w:gridCol w:w="541"/>
        <w:gridCol w:w="300"/>
        <w:gridCol w:w="230"/>
        <w:gridCol w:w="230"/>
        <w:gridCol w:w="230"/>
        <w:gridCol w:w="230"/>
        <w:gridCol w:w="541"/>
        <w:gridCol w:w="300"/>
        <w:gridCol w:w="230"/>
        <w:gridCol w:w="109"/>
        <w:gridCol w:w="109"/>
        <w:gridCol w:w="109"/>
        <w:gridCol w:w="396"/>
        <w:gridCol w:w="399"/>
        <w:gridCol w:w="135"/>
        <w:gridCol w:w="109"/>
        <w:gridCol w:w="109"/>
        <w:gridCol w:w="109"/>
        <w:gridCol w:w="291"/>
        <w:gridCol w:w="294"/>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software licenses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273,280</w:t>
            </w: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283,969</w:t>
            </w: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10,689</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cost of revenues increased by US$10.7 million from US$273.3 million for the six months ended June 30, 2025 to US$284.0 million for the six months ended June 30, 2026, primarily attributable to rising memory costs associated with the sales of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6281" w:type="dxa"/>
        <w:jc w:val="left"/>
        <w:tblInd w:w="0" w:type="dxa"/>
        <w:tblLayout w:type="fixed"/>
        <w:tblCellMar>
          <w:top w:w="28" w:type="dxa"/>
          <w:left w:w="28" w:type="dxa"/>
          <w:bottom w:w="28" w:type="dxa"/>
          <w:right w:w="28" w:type="dxa"/>
        </w:tblCellMar>
      </w:tblPr>
      <w:tblGrid>
        <w:gridCol w:w="549"/>
        <w:gridCol w:w="480"/>
        <w:gridCol w:w="485"/>
        <w:gridCol w:w="464"/>
        <w:gridCol w:w="257"/>
        <w:gridCol w:w="230"/>
        <w:gridCol w:w="230"/>
        <w:gridCol w:w="230"/>
        <w:gridCol w:w="230"/>
        <w:gridCol w:w="464"/>
        <w:gridCol w:w="257"/>
        <w:gridCol w:w="230"/>
        <w:gridCol w:w="109"/>
        <w:gridCol w:w="109"/>
        <w:gridCol w:w="109"/>
        <w:gridCol w:w="360"/>
        <w:gridCol w:w="361"/>
        <w:gridCol w:w="135"/>
        <w:gridCol w:w="109"/>
        <w:gridCol w:w="109"/>
        <w:gridCol w:w="109"/>
        <w:gridCol w:w="255"/>
        <w:gridCol w:w="25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change in the revenue mix, the price adjustment for the sales of goods, as well as higher service revenue margin supported by a more favorable cost structure, our gross profits increased from US$50.0 million for the six months ended June 30, 2025 to US$72.7 million for the six months ended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gross margins increased from 15.5% for the six months ended June 30, 2025 to 20.4% for the six months ended June 30, 2026.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861" w:type="dxa"/>
        <w:jc w:val="left"/>
        <w:tblInd w:w="0" w:type="dxa"/>
        <w:tblLayout w:type="fixed"/>
        <w:tblCellMar>
          <w:top w:w="28" w:type="dxa"/>
          <w:left w:w="28" w:type="dxa"/>
          <w:bottom w:w="28" w:type="dxa"/>
          <w:right w:w="28" w:type="dxa"/>
        </w:tblCellMar>
      </w:tblPr>
      <w:tblGrid>
        <w:gridCol w:w="1381"/>
        <w:gridCol w:w="1210"/>
        <w:gridCol w:w="1218"/>
        <w:gridCol w:w="541"/>
        <w:gridCol w:w="300"/>
        <w:gridCol w:w="230"/>
        <w:gridCol w:w="230"/>
        <w:gridCol w:w="230"/>
        <w:gridCol w:w="230"/>
        <w:gridCol w:w="473"/>
        <w:gridCol w:w="263"/>
        <w:gridCol w:w="230"/>
        <w:gridCol w:w="109"/>
        <w:gridCol w:w="109"/>
        <w:gridCol w:w="109"/>
        <w:gridCol w:w="398"/>
        <w:gridCol w:w="398"/>
        <w:gridCol w:w="135"/>
        <w:gridCol w:w="109"/>
        <w:gridCol w:w="109"/>
        <w:gridCol w:w="109"/>
        <w:gridCol w:w="293"/>
        <w:gridCol w:w="293"/>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115,153</w:t>
            </w: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91,883</w:t>
            </w: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(23,270)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Our research and development expenses decreased by US$15.7 million from US$68.3 million for the six months ended June 30, 2025 to US$52.6 million for the six months ended June 30, 2026, primarily due to the continued resource prioritization that enhanced operational efficiencies and synergies from the integration of our R&amp;D functions and the internal deployment of AI across our business to reduce structural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selling, general and administrative expenses decreased by US$7.6 million from US$47.6 million for the six months ended June 30, 2025 to US$40.0 million for the six months ended June 30, 2026, mainly attributable to the continued improvement in our global operating efficiencies and lower share-based compensation expenses incurred in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Loss from operation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foregoing, we had a loss from operation of US$19.2 million for the six months ended June 30, 2026, in comparison with a loss from operation of US$65.2 million for the six months ended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interest income increased to US$2.5 million during the six months ended June 30, 2026 primarily because of the income from available-for-sale debt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interest expenses increased from US$10.2 million for the six months ended June 30, 2025 to US$18.0 million for the six months ended June 30, 2026, primarily due to additional interests accrued on convertible notes and increased bank borrowings.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Gain from equity method investments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recorded a gain from equity method investments of US$0.1 million for the six months ended June 30, 2025 and a gain from equity method investments of US$14.2 million for the six months ended June 30, 2026, the change was primarily due to a gain of US$14.5 million from the partial sale of equity interest in SiEngine in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non-operating (expenses) income,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Major components of other non-operating (expenses) income, net are discussed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an equity security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a loss due to changes in the fair value of an equity security of US$4.3 million for the six months ended June 30, 2026, compared to a loss of US$0.3 million for the same period in 2025. The change was mainly affected by the market prices of the listed equity security.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recorded a gain due to changes in fair value of warrant liabilities of US$0.1 million for the six months ended June 30, 2026, compared to losses of US$0.2 million for the same period in 2025. The change in fair value is affected by the market price changes in warrants between two reporting dates.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grants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and 2026, we recorded government grants totaling US$3.2 million and US$1.0 million, respectively, as a result of support and incentives from local governments, which primarily consisted of subsidies for research and development activities.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loss,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foreign currency exchange gain, net of US$0.6 million for the six months ended June 30, 2026, compared to losses of US$0.5 million for the six months ended June 30, 2025. The net change in foreign currency exchange gain was primarily attributable to the impact on non-functional currency transactions and account balances of the fluctuations in the foreign currency exchange rates.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adjusted EBITDA in evaluating our operating results and for financial and operational decision-making purposes. We define adjusted EBITDA as net loss excluding interest income, interest expense, income tax expenses, depreciation of property and equipment, amortization of intangible assets, and share-based compensation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present this non-GAAP financial measure because it is used by our management to evaluate our operating performance and formulate business plans. We believe that adjusted EBITDA helps identify underlying trends in our business that could otherwise be distorted by the effect of certain expenses that are included in net loss. We also believe that the use of this non-GAAP measure facilitates investors’ assessment of our operating performance and provides useful information about our operating results and allows for greater visibility with respect to key metrics used by our management in its financial and operational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or construed as alternatives to net loss or any other measures of performance or as indicators of our operating performance. Investors are encouraged to compare our historical adjusted EBITDA to the most directly comparable GAAP measure, net loss.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set forth a reconciliation of our net loss to adjusted EBITDA for the periods indicated:</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23"/>
        <w:gridCol w:w="1071"/>
        <w:gridCol w:w="1080"/>
        <w:gridCol w:w="498"/>
        <w:gridCol w:w="297"/>
        <w:gridCol w:w="224"/>
        <w:gridCol w:w="224"/>
        <w:gridCol w:w="224"/>
        <w:gridCol w:w="224"/>
        <w:gridCol w:w="498"/>
        <w:gridCol w:w="297"/>
        <w:gridCol w:w="317"/>
      </w:tblGrid>
      <w:tr>
        <w:trPr/>
        <w:tc>
          <w:tcPr>
            <w:tcW w:w="12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(72,639)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(23,001)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(50,764)</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3,017</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(44,260)</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4,484</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cash flows for the periods indicated.</w:t>
      </w:r>
    </w:p>
    <w:tbl>
      <w:tblPr>
        <w:tblW w:w="9209" w:type="dxa"/>
        <w:jc w:val="left"/>
        <w:tblInd w:w="0" w:type="dxa"/>
        <w:tblLayout w:type="fixed"/>
        <w:tblCellMar>
          <w:top w:w="28" w:type="dxa"/>
          <w:left w:w="28" w:type="dxa"/>
          <w:bottom w:w="28" w:type="dxa"/>
          <w:right w:w="28" w:type="dxa"/>
        </w:tblCellMar>
      </w:tblPr>
      <w:tblGrid>
        <w:gridCol w:w="2269"/>
        <w:gridCol w:w="1994"/>
        <w:gridCol w:w="2007"/>
        <w:gridCol w:w="517"/>
        <w:gridCol w:w="309"/>
        <w:gridCol w:w="224"/>
        <w:gridCol w:w="224"/>
        <w:gridCol w:w="224"/>
        <w:gridCol w:w="224"/>
        <w:gridCol w:w="564"/>
        <w:gridCol w:w="336"/>
        <w:gridCol w:w="317"/>
      </w:tblGrid>
      <w:tr>
        <w:trPr/>
        <w:tc>
          <w:tcPr>
            <w:tcW w:w="226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Consolidated Cash Flow Data</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restricted cash</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restricted cash</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49,090</w:t>
            </w: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72,159</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the beginning of the period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the end of the period</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99,254</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165,415</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funded our operating and investing activities primarily through cash generated from financing activities (including credit facilities).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Related party borrowings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we obtained a renewed loan in an amount of US$27.3 million loan from Geely Group bearing interest rate of 3.9% per annum. In March 2025, we entered into debt assignment and offset agreement with Geely Group and its subsidiaries with respect to assignment and offset of the loan and accounts receivable from Geely Group and its subsidiaries amounting to US$4.9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accounts receivable factoring arrangements with a finance company of the Geely Group, under which we received financing at a minimum interest rate of 5.0% per annum. During the six months ended June 30, 2025 and 2026, we received aggregate proceeds of US$20.7 million and US$28.0 million, respectively, under these factoring arrangements, and repaid US$21.0 million and US$28.3 million,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Bank borrowings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2026, we borrowed loans with aggregate principal amounts of US$194.0 million and US$463.8 million, respectively, from banks in mainland China, bearing weighted-average interest rates of 3.8% and 3.6% per annum, respectively. During the same periods, we repaid loans with aggregate principal amounts of US$106.3 million and US$233.1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Debt financing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we entered into the 2025 Convertible Note Purchase Agreement with the existing holders of the 2022 Notes. The 2025 Convertible Note Purchase Agreement contemplates the issuance and sale by us of up to US$100 million of the 2025 Convertible Notes on terms similar to the 2022 Notes in connection with the refinancing of the 2022 Notes. US$60 million and US$40 million of the 2025 Convertible Notes were issued and subscribed to in November 2025 and in February 2026 pursuant to the 2025 Convertible Note Purchase Agreement and on terms similar to the 2022 Notes. The issuance capacity of the 2025 Convertible Notes was increased from US$100 million to US$130 million, and an existing institutional investor subscribed for an additional US$15 million note, in July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Equity financing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28, 2025, we issued 25,000,000 Class A ordinary shares upon a follow-on public offering at a public offering price of US$1.80 per share. We received net proceeds of US$42.6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we entered into a subscription agreement with Geely Investment Holding Ltd. Pursuant to the terms of the agreement,Geely Investment Holding Ltd. subscribed for and purchased from us, through a private placement, a total of 27,297,002 newly issued Class A Ordinary Shares at a price of US$1.67 per ordinary share, for a total purchase price of US$45.6 million.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a subsidiary of the Company received US$14.6 million in capital from a redeemable noncontrolling interests shareholder.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losses since our inception. As of June 30, 2026, we had an accumulated deficit of US$1,213.3 million and its consolidated current liabilities exceeded current assets in the amount of US$271.4 million. In addition, we recorded net cash used in operating activities in the amount of US$127.7 million for the six months ended June 30, 2026. We will require additional liquidity to continue our operations over the next 12 months.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evaluated plans to continue as a going concern which include, but are not limited to (i) reducing discretionary capital and operating expenses; (ii) obtaining additional facilities from banks and renewal of existing bank borrowings; (iii) issuance of new equity and convertible debt securities; (iv) obtaining extended financial support from controlling shareholder and related parties; and (v) accelerating pace of collections of amounts due from related and third parties to optimize operational efficiency. Subsequent to June 30, 2026, the Company drew down an additional RMB460 million (approximately US$68 million) under the syndicated loan facility and issued US$15 million of convertible notes pursuant to the 2025 Convertible Note Purchase Agreement. Notwithstanding this, feasibility of some of these plans is contingent upon factors outside of the control of us and as such we concluded that substantial doubt about its ability to continue as a going concern has not been alleviated as of the reporting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additional financing is required from third party sources, we may not be able to raise it on acceptable terms or at all. See “Item 3. Key Information—D. Risk Factors—Risks Relating to Our Business and Industry—Our business plans require a significant amount of capital. In addition, our future capital needs may require us to sell additional equity or debt securities that may dilute our shareholders or introduce covenants that may restrict our operations or our ability to pay dividends” in our 2025 Annual Report. The issuance and sale of additional equity would also result in further dilution to our shareholders. The incurrence of indebtedness would result in increasing fixed obligations and could result in operating covenants that would restrict our operations.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cash and restricted cash of US$165.4 million as of June 30, 2026. As of June 30, 2026, US$157.4 million of our cash and cash equivalents were held in China and US$155.0 million were denominated in Renminbi. Substantially all of our revenues have been, and we expect them to continue to be, denominated in Renminbi in the short-term. Under existing foreign exchange regulations in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mainland China subsidiaries are allowed to pay dividends in foreign currencies to us without prior SAFE approval by following certain routine procedural requirements. However, approval from or registration with competent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Economic uncertainty in China and around the world could also adversely affect our liquidity and capital resources in the future, and our cash requirements may fluctuate based on the timing and extent of many factors such as those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before="0" w:after="0"/>
        <w:jc w:val="center"/>
        <w:rPr/>
      </w:pPr>
      <w:r>
        <w:rPr/>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US$45.7 million from US$82.0 million for the six months ended June 30, 2025 to US$127.7 million for the six months ended June 30, 2026, primarily due to a higher cash used in the working capital management in 2026 compared to the same period last year.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US$127.7 million. The difference between our cash used in operating activities and our net loss of US$23.0 million for the same year from operations was attributable to certain non-cash items, primarily consisting of gain from equity method investments of US$14.2 million, and certain changes in working capital accounts, primarily consisting of (i) increase in inventories of US$64.5 million, (ii) increase in accounts receivable of US$46.9 million, (iii) increase in amounts due to related parties of US$37.1 million, and (iv) decrease in accrued expenses and other current liabilities of US$17.3 million.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net cash used in investing activities of US$115.0 million for the six months ended June 30, 2026, which was mainly attributable to (i) net cash paid for loan and advances to related parties of US$24.4 million (ii) net cash paid for short-term investments of US$14.7 million and (iii) prepayment for acquisition of an entity under common control of US$73.7 million.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financing activities was US$311.9 million, which was mainly attributable to (i) net proceeds from bank borrowings of US$230.6 million, (ii) net proceeds from issuance of ordinary shares of US$45.6 million, and (iii) net cash received from issuance of convertible notes of US$37.9 million.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capital expenditures are primarily incurred for the purchase of property, equipment, and intangible assets. Our total capital expenditures were US$4.5 million and US$10.9 million for the six months ended June 30, 2025 and 2026, respectively. We will continue to make capital expenditures on our manufacturing capabilities and to meet the needs of our manufacturing activities.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Material Cash Requirements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the ordinary cash requirements for our operations, research and development, and our capital expenditure, our material cash requirements as of June 30, 2026 and any subsequent interim period primarily include interest and principal payments for our borrowings from banks and related parties, convertible notes, operating lease commitments, purchase commitments, capital commitments, and investment commitments.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lease commitment primarily consists of future minimum lease rentals payable, under non-cancellable term of operating lease agreements for our offices and production facilities.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purchase commitment primarily consists of future minimum purchase commitment related to the purchase of research and development services.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capital commitment primarily consists of total capital expenditures contracted but not yet reflected in the unaudited condensed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Group entered into a limited partnership agreement with three other third-party investors to establish Fuyang Fund, a limited partnership established to invest in early-stage companies with growth potential and seek financial returns and potential business synergies. The Group agreed to contribute RMB10,000 (equivalent to US$1,474) to obtain a 10% partnership interest in Fuyang Fund. In April 2026, the Group contributed RMB5,000 (equivalent to US$737) to Fuyang Fund and obtained 5% partnership interest. Our investment commitment is towards the remaining capital contribution of this investment of RMB5,000 (equivalent to US$737).</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18, 2026, the Group entered into an agreement to acquire 100% equity interest of Hubei Qiguang at a cash consideration of RMB1.8 billion, or approximately US$266 million. The Acquisition is structured as a carve-out from Xingji Meizu, and the acquired entity, Hubei Qiguang, is expected to obtain ownership of the entire Flyme business portfolio comprising Flyme Auto (an in-vehicle cockpit operating system) and the cross-device Flyme operating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the consideration will follow a two-phase schedule: 30% of the consideration due within 30 days after signing, with the remaining 70% payable within 30 days after completion of equity transfer. As of June 30, 2026, the Company has settled a portion of the consideration, amounting to RMB500 million (equivalent to US$73,712). Our investment commitment is towards the remaining 70% of the consideration.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fund our existing and future material cash requirements with our existing cash balance, additional loan facilities from banks, financial support from controlling shareholder, as well as renewing our existing bank loans when they fall due, as necessary, although such plans are contingent upon many factors out of our control. We will continue to make cash commitments, including capital expenditures, to support the growth of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contractual obligations as of June 30, 2026.</w:t>
      </w:r>
    </w:p>
    <w:tbl>
      <w:tblPr>
        <w:tblW w:w="10205" w:type="dxa"/>
        <w:jc w:val="left"/>
        <w:tblInd w:w="0" w:type="dxa"/>
        <w:tblLayout w:type="fixed"/>
        <w:tblCellMar>
          <w:top w:w="28" w:type="dxa"/>
          <w:left w:w="28" w:type="dxa"/>
          <w:bottom w:w="28" w:type="dxa"/>
          <w:right w:w="28" w:type="dxa"/>
        </w:tblCellMar>
      </w:tblPr>
      <w:tblGrid>
        <w:gridCol w:w="892"/>
        <w:gridCol w:w="785"/>
        <w:gridCol w:w="788"/>
        <w:gridCol w:w="419"/>
        <w:gridCol w:w="422"/>
        <w:gridCol w:w="166"/>
        <w:gridCol w:w="109"/>
        <w:gridCol w:w="109"/>
        <w:gridCol w:w="109"/>
        <w:gridCol w:w="420"/>
        <w:gridCol w:w="421"/>
        <w:gridCol w:w="251"/>
        <w:gridCol w:w="109"/>
        <w:gridCol w:w="109"/>
        <w:gridCol w:w="109"/>
        <w:gridCol w:w="367"/>
        <w:gridCol w:w="369"/>
        <w:gridCol w:w="263"/>
        <w:gridCol w:w="109"/>
        <w:gridCol w:w="109"/>
        <w:gridCol w:w="109"/>
        <w:gridCol w:w="367"/>
        <w:gridCol w:w="369"/>
        <w:gridCol w:w="263"/>
        <w:gridCol w:w="109"/>
        <w:gridCol w:w="109"/>
        <w:gridCol w:w="109"/>
        <w:gridCol w:w="367"/>
        <w:gridCol w:w="369"/>
        <w:gridCol w:w="263"/>
        <w:gridCol w:w="109"/>
        <w:gridCol w:w="109"/>
        <w:gridCol w:w="109"/>
        <w:gridCol w:w="367"/>
        <w:gridCol w:w="369"/>
        <w:gridCol w:w="273"/>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 5</w:t>
              <w:br/>
              <w:t>Years</w:t>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in thousands)</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commitments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commitments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commitments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banks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800,256</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669,944</w:t>
            </w:r>
            <w:r>
              <w:rPr>
                <w:color w:val="000000"/>
              </w:rPr>
              <w:t>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22,119</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18,751</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41,747</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47,695</w:t>
            </w:r>
            <w:r>
              <w:rPr>
                <w:color w:val="000000"/>
              </w:rPr>
              <w:t> </w:t>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of convertible notes payable issued to ATW Mobility SPV LLC was US$24.7 million, which will be due in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of convertible notes payable issued to certain institutional investors was US$101.6 million, which will be due in 2028.</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as shown above, we did not have any significant capital and other commitments, long-term obligations, or guarantees as of June 30,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Sheets Arrangements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Quantitative and Qualitative Disclosure about Market Risks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exposure to interest rate risk primarily relates to decrease in market interest rates as our liabilities to credit institutions, amounts due to related parties and convertible notes carry a fixed interest rate. Interest earning instruments and interest-bearing obligations carry a degree of interest rate risk. We have not been exposed to, nor do we anticipate being exposed to, material risks due to changes in market interest rates. However, our future interest income and interest expenses may fluctuate due to changes in market interest rates.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closely monitor the effects of changes in the interest rates on our interest rate risk exposures, but we have not used any derivative financial instruments to manage our interest risk exposure.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Exchange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revenue and expenses of our entities in mainland China are generally denominated in Renminbi and their assets and liabilities are denominated in Renminbi. Our international revenues and expenses are denominated in foreign currencies and expose us to the risk of fluctuations in foreign currency exchange rates against the Renminbi. The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your investment in our securities will be affected by the exchange rate between the U.S. dollar and Renminbi because the value of our business is effectively denominated in Renminbi, while our securities will be traded in U.S. dollars.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Renminbi is not freely convertible into foreign currencies. Remittances of foreign currencies into mainland China or remittances of Renminbi out of mainland China as well as exchange between Renminbi and foreign currencies require approval by foreign exchange administrative authorities with certain supporting documentation. The State Administration for Foreign Exchange, under the authority of the People’s Bank of China, controls the conversion of Renminbi into other currencies.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ordinary shares or for other business purposes, appreciation of the U.S. dollars against the Renminbi would have a negative effect on the U.S. dollar amounts available to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RMB-denominated cash and cash equivalents, restricted cash and short-term investments of RMB1,052.09 million, and U.S. dollar-denominated cash and cash equivalents, restricted cash and short-term investments of US$50.10 million. Assuming we had converted RMB1,052.09 million into U.S. dollars at the exchange rate of RMB6.7881 for US$1.00 as of June 30, 2026, our U.S. dollar cash balance would have been US$205.09 million.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If the RMB depreciates by 10% against the U.S. dollar, our U.S. dollar cash balance would have been US$191.00</w:t>
      </w:r>
      <w:r>
        <w:rPr>
          <w:color w:val="000000"/>
        </w:rPr>
        <w:t xml:space="preserve"> </w:t>
      </w:r>
      <w:r>
        <w:rPr>
          <w:rFonts w:ascii="Times New Roman;serif" w:hAnsi="Times New Roman;serif"/>
          <w:b w:val="false"/>
          <w:color w:val="000000"/>
          <w:sz w:val="20"/>
        </w:rPr>
        <w:t>million instead. Assuming we had converted US$50.10 million into RMB at the exchange rate of RMB6.7881 for US$1.00 as of June 30, 2026, our RMB cash balance would have been RMB1,392.17 million. If the RMB depreciates by 10% against the U.S. dollar, our RMB cash balance would have been RMB1,426.18 million instead.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prepare our unaudited condensed consolidated financial statements in accordance with U.S. GAAP. In doing so, we have to make estimates and assumptions. Our critical accounting estimates are those estimates that involve a significant level of uncertainty at the time the estimate is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Please refer to our 2025 Annual Report for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Unaudited Condensed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7"/>
        <w:gridCol w:w="2987"/>
        <w:gridCol w:w="3018"/>
        <w:gridCol w:w="225"/>
        <w:gridCol w:w="225"/>
        <w:gridCol w:w="323"/>
      </w:tblGrid>
      <w:tr>
        <w:trPr/>
        <w:tc>
          <w:tcPr>
            <w:tcW w:w="3427"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 </w:t>
            </w:r>
          </w:p>
        </w:tc>
      </w:tr>
      <w:tr>
        <w:trPr/>
        <w:tc>
          <w:tcPr>
            <w:tcW w:w="94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Contents</w:t>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Page (s)</w:t>
            </w:r>
          </w:p>
        </w:tc>
      </w:tr>
      <w:tr>
        <w:trPr/>
        <w:tc>
          <w:tcPr>
            <w:tcW w:w="9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 as of December 31, 2025 and June 30, 2026</w:t>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c>
      </w:tr>
      <w:tr>
        <w:trPr/>
        <w:tc>
          <w:tcPr>
            <w:tcW w:w="94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Comprehensive Loss for the six months ended June 30, 2025 and 2026</w:t>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c>
      </w:tr>
      <w:tr>
        <w:trPr/>
        <w:tc>
          <w:tcPr>
            <w:tcW w:w="94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Changes in Shareholders’ Deficit for the six months ended June 30, 2025 and 2026</w:t>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c>
      </w:tr>
      <w:tr>
        <w:trPr/>
        <w:tc>
          <w:tcPr>
            <w:tcW w:w="94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Cash Flows for the six months ended June 30, 2025 and 2026</w:t>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c>
      </w:tr>
      <w:tr>
        <w:trPr/>
        <w:tc>
          <w:tcPr>
            <w:tcW w:w="94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ECARX HOLDINGS INC.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7439" w:type="dxa"/>
        <w:jc w:val="left"/>
        <w:tblInd w:w="0" w:type="dxa"/>
        <w:tblLayout w:type="fixed"/>
        <w:tblCellMar>
          <w:top w:w="28" w:type="dxa"/>
          <w:left w:w="28" w:type="dxa"/>
          <w:bottom w:w="28" w:type="dxa"/>
          <w:right w:w="28" w:type="dxa"/>
        </w:tblCellMar>
      </w:tblPr>
      <w:tblGrid>
        <w:gridCol w:w="1248"/>
        <w:gridCol w:w="1098"/>
        <w:gridCol w:w="1104"/>
        <w:gridCol w:w="169"/>
        <w:gridCol w:w="169"/>
        <w:gridCol w:w="171"/>
        <w:gridCol w:w="109"/>
        <w:gridCol w:w="109"/>
        <w:gridCol w:w="109"/>
        <w:gridCol w:w="499"/>
        <w:gridCol w:w="499"/>
        <w:gridCol w:w="501"/>
        <w:gridCol w:w="109"/>
        <w:gridCol w:w="109"/>
        <w:gridCol w:w="109"/>
        <w:gridCol w:w="420"/>
        <w:gridCol w:w="421"/>
        <w:gridCol w:w="486"/>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4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r>
      <w:tr>
        <w:trPr/>
        <w:tc>
          <w:tcPr>
            <w:tcW w:w="3450"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156,157 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third parties, net</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parties, net</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209,702 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related parties, net</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 net</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483,175</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697,162</w:t>
            </w: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 net</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 third parties</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 related parties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179,234</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288,877</w:t>
            </w: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662,409</w:t>
            </w:r>
            <w:r>
              <w:rPr>
                <w:color w:val="000000"/>
              </w:rPr>
              <w:t>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986,039</w:t>
            </w:r>
            <w:r>
              <w:rPr>
                <w:color w:val="000000"/>
              </w:rPr>
              <w:t>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ECARX HOLDINGS INC.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8263" w:type="dxa"/>
        <w:jc w:val="left"/>
        <w:tblInd w:w="0" w:type="dxa"/>
        <w:tblLayout w:type="fixed"/>
        <w:tblCellMar>
          <w:top w:w="28" w:type="dxa"/>
          <w:left w:w="28" w:type="dxa"/>
          <w:bottom w:w="28" w:type="dxa"/>
          <w:right w:w="28" w:type="dxa"/>
        </w:tblCellMar>
      </w:tblPr>
      <w:tblGrid>
        <w:gridCol w:w="1456"/>
        <w:gridCol w:w="1279"/>
        <w:gridCol w:w="1284"/>
        <w:gridCol w:w="204"/>
        <w:gridCol w:w="204"/>
        <w:gridCol w:w="206"/>
        <w:gridCol w:w="109"/>
        <w:gridCol w:w="109"/>
        <w:gridCol w:w="109"/>
        <w:gridCol w:w="499"/>
        <w:gridCol w:w="499"/>
        <w:gridCol w:w="501"/>
        <w:gridCol w:w="109"/>
        <w:gridCol w:w="109"/>
        <w:gridCol w:w="109"/>
        <w:gridCol w:w="494"/>
        <w:gridCol w:w="497"/>
        <w:gridCol w:w="486"/>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01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r>
      <w:tr>
        <w:trPr/>
        <w:tc>
          <w:tcPr>
            <w:tcW w:w="4019" w:type="dxa"/>
            <w:gridSpan w:val="3"/>
            <w:vMerge w:val="continue"/>
            <w:tcBorders/>
            <w:tcMar>
              <w:top w:w="0" w:type="dxa"/>
              <w:left w:w="0" w:type="dxa"/>
              <w:bottom w:w="0" w:type="dxa"/>
              <w:right w:w="0" w:type="dxa"/>
            </w:tcMar>
            <w:vAlign w:val="center"/>
          </w:tcPr>
          <w:p>
            <w:pPr>
              <w:pStyle w:val="Normal"/>
              <w:bidi w:val="0"/>
              <w:jc w:val="left"/>
              <w:rPr/>
            </w:pPr>
            <w:r>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310,659 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444,844 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third parties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251,446 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parties</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45,939 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related parties</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91,454 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 – third parties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 – related parties</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payable, current</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823,004</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968,547</w:t>
            </w: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borrowings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111,819 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non-current – related parties</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payable, non-current</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non-current</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18,477 </w:t>
            </w:r>
          </w:p>
        </w:tc>
        <w:tc>
          <w:tcPr>
            <w:tcW w:w="4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 third parties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liabilities </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122,880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268,613</w:t>
            </w: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945,884</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1,237,160</w:t>
            </w: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ECARX HOLDINGS INC.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307"/>
        <w:gridCol w:w="1585"/>
        <w:gridCol w:w="1516"/>
        <w:gridCol w:w="165"/>
        <w:gridCol w:w="165"/>
        <w:gridCol w:w="166"/>
        <w:gridCol w:w="109"/>
        <w:gridCol w:w="109"/>
        <w:gridCol w:w="109"/>
        <w:gridCol w:w="574"/>
        <w:gridCol w:w="438"/>
        <w:gridCol w:w="356"/>
        <w:gridCol w:w="109"/>
        <w:gridCol w:w="109"/>
        <w:gridCol w:w="109"/>
        <w:gridCol w:w="520"/>
        <w:gridCol w:w="478"/>
        <w:gridCol w:w="281"/>
      </w:tblGrid>
      <w:tr>
        <w:trPr/>
        <w:tc>
          <w:tcPr>
            <w:tcW w:w="3307"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40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 2026</w:t>
            </w:r>
          </w:p>
        </w:tc>
      </w:tr>
      <w:tr>
        <w:trPr/>
        <w:tc>
          <w:tcPr>
            <w:tcW w:w="6408"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mezzanine equity</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14,761</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DEFICIT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Ordinary Shares (US$0.000005 par value, 8,000,000,000 shares authorized as of December 31, 2025 and June 30, 2026; 336,406,528 and 377,801,825 shares issued as of December 31, 2025 and June 30, 2026, respectively, 310,505,777 and 347,029,953 shares outstanding as of December 31, 2025 and June 30, 2026, respectively)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Ordinary Shares (US$0.000005 par value, 1,000,000,000 shares authorized as of December 31, 2025 and June 30, 2026; 45,960,916 shares issued and outstanding as of December 31, 2025 and June 30, 2026)</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(25,900,751 and 30,771,872 shares held as of December 31, 2025 and June 30, 2026, respectively)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(30,004)</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958,052 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1,019,545 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(1,190,495)</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(1,213,292)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deficit attributable to ordinary shareholders of ECARX Holdings Inc.</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(282,664)</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(264,775)</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deficit</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(283,475)</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(265,882)</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shareholders’ deficit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662,409</w:t>
            </w:r>
            <w:r>
              <w:rPr>
                <w:color w:val="000000"/>
              </w:rPr>
              <w:t>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986,039</w:t>
            </w:r>
            <w:r>
              <w:rPr>
                <w:color w:val="000000"/>
              </w:rPr>
              <w:t>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ECARX HOLDINGS INC.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w:t>
      </w:r>
    </w:p>
    <w:p>
      <w:pPr>
        <w:pStyle w:val="TextBody"/>
        <w:bidi w:val="0"/>
        <w:spacing w:lineRule="auto" w:line="216"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482"/>
        <w:gridCol w:w="1941"/>
        <w:gridCol w:w="1947"/>
        <w:gridCol w:w="155"/>
        <w:gridCol w:w="155"/>
        <w:gridCol w:w="156"/>
        <w:gridCol w:w="109"/>
        <w:gridCol w:w="109"/>
        <w:gridCol w:w="109"/>
        <w:gridCol w:w="710"/>
        <w:gridCol w:w="341"/>
        <w:gridCol w:w="173"/>
        <w:gridCol w:w="173"/>
        <w:gridCol w:w="173"/>
        <w:gridCol w:w="173"/>
        <w:gridCol w:w="710"/>
        <w:gridCol w:w="341"/>
        <w:gridCol w:w="248"/>
      </w:tblGrid>
      <w:tr>
        <w:trPr/>
        <w:tc>
          <w:tcPr>
            <w:tcW w:w="248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3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370"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Sales of goods revenues (including related parties amounts of US$211,818 and US$276,841 for the periods ended June 30, 2025 and 2026, respectively)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Software license revenues (including related parties amounts of US$24,999 and US$1,929 for the periods ended June 30, 2025 and 2026, respectively)</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Service revenues (including related parties amounts of US$44,342 and US$38,682 for the periods ended June 30, 2025 and 2026, respectively)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323,281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356,682</w:t>
            </w: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Cost of goods sold (including related parties amounts of US$52,246 and US$59,160 for the periods ended June 30, 2025 and 2026, respectively)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(226,865)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(264,482)</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Cost of software licenses (including related parties amounts of US$16,592 and US$7 for the periods ended June 30, 2025 and 2026, respectively)</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Cost of services (including related parties amounts of US$767 and US$5,993 for the periods ended June 30, 2025 and 2026, respectively)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revenues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(273,280)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(283,969)</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50,001</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72,713</w:t>
            </w: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 (including related parties amounts of US$1,765 and US$3,332 for the periods ended June 30, 2025 and 2026, respectively)</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 (including related parties amounts of US$692 and US$696 for the periods ended June 30, 2025 and 2026, respectively)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net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(115,153)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(91,883)</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(65,152)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(19,170)</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 (including related parties amounts of US$805 and US$1,560 for the periods ended June 30, 2025 and 2026, respectively)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 (including related parties amounts of US$965 and US$1,882 for the periods ended June 30, 2025 and 2026, respectively)</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(17,982)</w:t>
            </w:r>
          </w:p>
        </w:tc>
        <w:tc>
          <w:tcPr>
            <w:tcW w:w="2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from equity method investments, net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(expenses), net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(70,587)</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(21,960)</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(72,639)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(23,001)</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nonredeemable noncontrolling interests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Ecarx Holdings Inc.</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(69,056)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(20,988)</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noncontrolling interests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available to ECARX Holdings Inc. ordinary shareholders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(69,056)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(22,797)</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ordinary share</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 xml:space="preserve">Basic and diluted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ordinary shares used in computing loss per ordinary share</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 xml:space="preserve">Basic and diluted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337,210,153 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368,244,708 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(72,639)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(23,001)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change of available-for-sale debt investment, net of nil income taxes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nil income taxes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(77,830)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(33,870)</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nonredeemable noncontrolling interests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redeemable noncontrolling interests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noncontrolling interests</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ordinary shareholders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(74,300)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(33,697)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ECARX HOLDINGS INC. ECARX HOLDINGS INC.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SHAREHOLDERS’ DEFICIT</w:t>
      </w:r>
    </w:p>
    <w:p>
      <w:pPr>
        <w:pStyle w:val="TextBody"/>
        <w:bidi w:val="0"/>
        <w:spacing w:lineRule="auto" w:line="216"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before="240" w:after="283"/>
        <w:jc w:val="left"/>
        <w:rPr/>
      </w:pPr>
      <w:r>
        <w:rPr/>
      </w:r>
    </w:p>
    <w:tbl>
      <w:tblPr>
        <w:tblW w:w="14184" w:type="dxa"/>
        <w:jc w:val="left"/>
        <w:tblInd w:w="0" w:type="dxa"/>
        <w:tblLayout w:type="fixed"/>
        <w:tblCellMar>
          <w:top w:w="28" w:type="dxa"/>
          <w:left w:w="28" w:type="dxa"/>
          <w:bottom w:w="28" w:type="dxa"/>
          <w:right w:w="28" w:type="dxa"/>
        </w:tblCellMar>
      </w:tblPr>
      <w:tblGrid>
        <w:gridCol w:w="481"/>
        <w:gridCol w:w="172"/>
        <w:gridCol w:w="173"/>
        <w:gridCol w:w="383"/>
        <w:gridCol w:w="383"/>
        <w:gridCol w:w="181"/>
        <w:gridCol w:w="109"/>
        <w:gridCol w:w="109"/>
        <w:gridCol w:w="109"/>
        <w:gridCol w:w="203"/>
        <w:gridCol w:w="203"/>
        <w:gridCol w:w="228"/>
        <w:gridCol w:w="109"/>
        <w:gridCol w:w="109"/>
        <w:gridCol w:w="109"/>
        <w:gridCol w:w="353"/>
        <w:gridCol w:w="353"/>
        <w:gridCol w:w="181"/>
        <w:gridCol w:w="109"/>
        <w:gridCol w:w="109"/>
        <w:gridCol w:w="109"/>
        <w:gridCol w:w="203"/>
        <w:gridCol w:w="203"/>
        <w:gridCol w:w="228"/>
        <w:gridCol w:w="109"/>
        <w:gridCol w:w="109"/>
        <w:gridCol w:w="109"/>
        <w:gridCol w:w="353"/>
        <w:gridCol w:w="353"/>
        <w:gridCol w:w="181"/>
        <w:gridCol w:w="109"/>
        <w:gridCol w:w="109"/>
        <w:gridCol w:w="109"/>
        <w:gridCol w:w="239"/>
        <w:gridCol w:w="242"/>
        <w:gridCol w:w="176"/>
        <w:gridCol w:w="109"/>
        <w:gridCol w:w="109"/>
        <w:gridCol w:w="109"/>
        <w:gridCol w:w="278"/>
        <w:gridCol w:w="278"/>
        <w:gridCol w:w="211"/>
        <w:gridCol w:w="109"/>
        <w:gridCol w:w="109"/>
        <w:gridCol w:w="109"/>
        <w:gridCol w:w="315"/>
        <w:gridCol w:w="316"/>
        <w:gridCol w:w="266"/>
        <w:gridCol w:w="109"/>
        <w:gridCol w:w="109"/>
        <w:gridCol w:w="109"/>
        <w:gridCol w:w="295"/>
        <w:gridCol w:w="295"/>
        <w:gridCol w:w="296"/>
        <w:gridCol w:w="109"/>
        <w:gridCol w:w="109"/>
        <w:gridCol w:w="109"/>
        <w:gridCol w:w="286"/>
        <w:gridCol w:w="255"/>
        <w:gridCol w:w="256"/>
        <w:gridCol w:w="109"/>
        <w:gridCol w:w="109"/>
        <w:gridCol w:w="109"/>
        <w:gridCol w:w="580"/>
        <w:gridCol w:w="291"/>
        <w:gridCol w:w="327"/>
        <w:gridCol w:w="541"/>
        <w:gridCol w:w="356"/>
      </w:tblGrid>
      <w:tr>
        <w:trPr/>
        <w:tc>
          <w:tcPr>
            <w:tcW w:w="4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deficit</w:t>
              <w:br/>
              <w:t>attributable</w:t>
              <w:br/>
              <w:t>to ordinary</w:t>
              <w:br/>
              <w:t>shareholders</w:t>
              <w:br/>
              <w:t>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2"/>
              </w:rPr>
              <w:br/>
            </w: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shareholders’</w:t>
              <w:br/>
              <w:t>deficit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US$</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 as of January 1, 2025</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291,166,110</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48,960,916</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5,003,000</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(1,019)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895,010</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(1,124,452)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(9,209)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(239,668)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1,965</w:t>
            </w: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(237,703)</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(69,056)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(69,056)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(3,583)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(72,639)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6,504 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ordinary shares under 2022 Share Incentive Plan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5,562,000 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ordinary shares upon follow-on public offering</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25,000,000 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42,578 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42,578 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Re-designated ordinary shares from Class B to Class A</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ordinary shares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(20,897,751)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20,897,751 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(28,985)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(28,985)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(28,985)</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 net of nil income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(5,244)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(5,191)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 as of June 30, 2025</w:t>
            </w:r>
          </w:p>
        </w:tc>
        <w:tc>
          <w:tcPr>
            <w:tcW w:w="9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303,830,359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w:t>
            </w: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45,960,916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25,900,751</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(30,004)</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944,255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(1,193,508)</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(14,453)</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(293,708)</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(1,565)</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(295,273)</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4402" w:type="dxa"/>
        <w:jc w:val="center"/>
        <w:tblInd w:w="0" w:type="dxa"/>
        <w:tblLayout w:type="fixed"/>
        <w:tblCellMar>
          <w:top w:w="28" w:type="dxa"/>
          <w:left w:w="28" w:type="dxa"/>
          <w:bottom w:w="28" w:type="dxa"/>
          <w:right w:w="28" w:type="dxa"/>
        </w:tblCellMar>
      </w:tblPr>
      <w:tblGrid>
        <w:gridCol w:w="661"/>
        <w:gridCol w:w="172"/>
        <w:gridCol w:w="173"/>
        <w:gridCol w:w="383"/>
        <w:gridCol w:w="383"/>
        <w:gridCol w:w="181"/>
        <w:gridCol w:w="109"/>
        <w:gridCol w:w="109"/>
        <w:gridCol w:w="109"/>
        <w:gridCol w:w="203"/>
        <w:gridCol w:w="203"/>
        <w:gridCol w:w="228"/>
        <w:gridCol w:w="109"/>
        <w:gridCol w:w="109"/>
        <w:gridCol w:w="109"/>
        <w:gridCol w:w="353"/>
        <w:gridCol w:w="353"/>
        <w:gridCol w:w="181"/>
        <w:gridCol w:w="109"/>
        <w:gridCol w:w="109"/>
        <w:gridCol w:w="109"/>
        <w:gridCol w:w="203"/>
        <w:gridCol w:w="203"/>
        <w:gridCol w:w="176"/>
        <w:gridCol w:w="109"/>
        <w:gridCol w:w="109"/>
        <w:gridCol w:w="109"/>
        <w:gridCol w:w="353"/>
        <w:gridCol w:w="353"/>
        <w:gridCol w:w="181"/>
        <w:gridCol w:w="109"/>
        <w:gridCol w:w="109"/>
        <w:gridCol w:w="109"/>
        <w:gridCol w:w="240"/>
        <w:gridCol w:w="241"/>
        <w:gridCol w:w="176"/>
        <w:gridCol w:w="109"/>
        <w:gridCol w:w="109"/>
        <w:gridCol w:w="109"/>
        <w:gridCol w:w="323"/>
        <w:gridCol w:w="323"/>
        <w:gridCol w:w="211"/>
        <w:gridCol w:w="109"/>
        <w:gridCol w:w="109"/>
        <w:gridCol w:w="109"/>
        <w:gridCol w:w="315"/>
        <w:gridCol w:w="316"/>
        <w:gridCol w:w="266"/>
        <w:gridCol w:w="109"/>
        <w:gridCol w:w="109"/>
        <w:gridCol w:w="109"/>
        <w:gridCol w:w="295"/>
        <w:gridCol w:w="295"/>
        <w:gridCol w:w="296"/>
        <w:gridCol w:w="109"/>
        <w:gridCol w:w="109"/>
        <w:gridCol w:w="109"/>
        <w:gridCol w:w="286"/>
        <w:gridCol w:w="255"/>
        <w:gridCol w:w="256"/>
        <w:gridCol w:w="109"/>
        <w:gridCol w:w="109"/>
        <w:gridCol w:w="109"/>
        <w:gridCol w:w="580"/>
        <w:gridCol w:w="291"/>
        <w:gridCol w:w="327"/>
        <w:gridCol w:w="541"/>
        <w:gridCol w:w="356"/>
      </w:tblGrid>
      <w:tr>
        <w:trPr/>
        <w:tc>
          <w:tcPr>
            <w:tcW w:w="6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deficit</w:t>
              <w:br/>
              <w:t>attributable</w:t>
              <w:br/>
              <w:t>to ordinary</w:t>
              <w:br/>
              <w:t>shareholders</w:t>
              <w:br/>
              <w:t>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shareholders’</w:t>
              <w:br/>
              <w:t>deficit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US$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 as of January 1, 2026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310,505,777</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45,960,916</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25,900,751</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(30,004)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958,052</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(1,190,495)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(20,219)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(282,664)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(811)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(283,475)</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(20,988)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(21,315)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Share-based compensation (Note 17)</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ordinary shares under 2022 Share Incentive Plan (Note 16)</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279,455 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ordinary shares to Geely Investment Holding Ltd. (Note 16)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27,297,002 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45,586 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45,586 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45,586 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ordinary shares (Note 16)</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(4,871,121)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4,871,121 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(9,907)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ordinary shares for convertible notes conversion (Note 16)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13,818,840 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14,255 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Accretion to redemption value of redeemable noncontrolling interests (Note 21)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Fair value change of available-for-sale debt investment (Note 7)</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(2,799)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(2,799)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(2,799)</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 net of nil income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(8,101)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(8,070)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 as of June 30, 2026</w:t>
            </w:r>
          </w:p>
        </w:tc>
        <w:tc>
          <w:tcPr>
            <w:tcW w:w="9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347,029,953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2</w:t>
            </w: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45,960,916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30,771,872</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(39,911)</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1,019,545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(1,213,292)</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(31,119)</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(264,775)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(1,107)</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(265,882)</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0"/>
        </w:rPr>
      </w:pPr>
      <w:r>
        <w:rPr>
          <w:rFonts w:ascii="Times New Roman;serif" w:hAnsi="Times New Roman;serif"/>
          <w:b w:val="false"/>
          <w:color w:val="000000"/>
          <w:sz w:val="10"/>
        </w:rPr>
        <w:t>*Amounts less than US$0.5</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ECARX HOLDINGS INC.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16"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434" w:type="dxa"/>
        <w:jc w:val="left"/>
        <w:tblInd w:w="0" w:type="dxa"/>
        <w:tblLayout w:type="fixed"/>
        <w:tblCellMar>
          <w:top w:w="28" w:type="dxa"/>
          <w:left w:w="28" w:type="dxa"/>
          <w:bottom w:w="28" w:type="dxa"/>
          <w:right w:w="28" w:type="dxa"/>
        </w:tblCellMar>
      </w:tblPr>
      <w:tblGrid>
        <w:gridCol w:w="1990"/>
        <w:gridCol w:w="1753"/>
        <w:gridCol w:w="1761"/>
        <w:gridCol w:w="542"/>
        <w:gridCol w:w="268"/>
        <w:gridCol w:w="242"/>
        <w:gridCol w:w="242"/>
        <w:gridCol w:w="242"/>
        <w:gridCol w:w="242"/>
        <w:gridCol w:w="549"/>
        <w:gridCol w:w="261"/>
        <w:gridCol w:w="342"/>
      </w:tblGrid>
      <w:tr>
        <w:trPr/>
        <w:tc>
          <w:tcPr>
            <w:tcW w:w="199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US$</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(82,006)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(127,695)</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of short-term investments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(46,000)</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redemption of short-term investments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31,350 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advances to related parties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collection of loans and advances to related parties </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58,686 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of equity method investments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equity method investments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15,330 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equity securities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for acquisition of an entity under common control</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(73,712)</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and intangible assets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(10,858)</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property and equipment, and intangible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(115,007)</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borrowings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193,954 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352,042 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short-term borrowings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(233,057)</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borrowings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111,781 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issuance costs of long-term borrowings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related parties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27,964 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from related parties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(28,292)</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not soon after purchase of intangible assets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redeemable non-controlling interests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14,638 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not soon after a business acquisition of Hubei Dongjun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option exercises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issuance of ordinary shares </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45,586 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follow-on public offering cost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repurchase of ordinary shares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notes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issuance costs of convertible notes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convertible notes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(6,688)</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costs of the Merger</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conditional government grants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130,365</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311,940</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 on cash and restricted cash</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in cash and restricted cash</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49,090</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72,159</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at the beginning of the period</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93,256 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restricted cash at the end of the period</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99,254</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165,415</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information:</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paid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    Basis of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ECARX Holdings Inc. (“the Company”) and its consolidated subsidiaries (the “Group”) have been prepared in accordance with accounting principles generally accepted in the United States of America (“U.S. GAAP”). Certain information and footnote disclosures normally included in financial statements prepared in accordance with U.S. GAAP have been condensed or omitted as permitted by rules and regulations of the United States Securities and Exchange Commission. The accompanying unaudited condensed consolidated financial statements should be read in conjunction with the consolidated financial statements of the Group as of and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were prepared assuming the Group will continue as a going concern. The Group generated a net loss of US$23,001 and net cash outflows from operations of US$127,695 for the six months ended June 30, 2026. As of June 30, 2026, the Group’s consolidated current liabilities exceeded current assets in the amount of US$271,385. </w:t>
      </w:r>
    </w:p>
    <w:p>
      <w:pPr>
        <w:pStyle w:val="TextBody"/>
        <w:bidi w:val="0"/>
        <w:spacing w:before="240" w:after="283"/>
        <w:jc w:val="left"/>
        <w:rPr/>
      </w:pPr>
      <w:r>
        <w:rPr/>
      </w:r>
    </w:p>
    <w:p>
      <w:pPr>
        <w:pStyle w:val="TextBody"/>
        <w:bidi w:val="0"/>
        <w:spacing w:lineRule="auto" w:line="268" w:before="0" w:after="0"/>
        <w:jc w:val="left"/>
        <w:rPr/>
      </w:pPr>
      <w:r>
        <w:rPr>
          <w:rFonts w:ascii="Times New Roman;serif" w:hAnsi="Times New Roman;serif"/>
          <w:b w:val="false"/>
          <w:color w:val="000000"/>
          <w:sz w:val="20"/>
        </w:rPr>
        <w:t>The Company has evaluated plans to continue as a going concern which include, but are not limited to, (i) reducing discretionary capital and operating expenses; (ii) obtaining additional facilities from banks and renewal of existing bank borrowings; (iii) issuance of new equity and convertible debt securities; (iv) obtaining extended financial support from controlling shareholder and related parties; and (v) accelerating pace of collections of amounts due from related and third parties to optimize operational efficiency. Subsequent to June 30, 2026, the Company drew down an additional RMB460 million (approximately US$68 million) under the syndicated loan facility as mentioned in Note 11 and issued US$15 million of convertible notes pursuant to the 2025 Convertible Note Purchase Agreement as mentioned in Note 14.</w:t>
      </w:r>
      <w:r>
        <w:rPr>
          <w:color w:val="000000"/>
        </w:rPr>
        <w:t xml:space="preserve"> </w:t>
      </w:r>
      <w:r>
        <w:rPr>
          <w:rFonts w:ascii="Times New Roman;serif" w:hAnsi="Times New Roman;serif"/>
          <w:b w:val="false"/>
          <w:color w:val="000000"/>
          <w:sz w:val="20"/>
        </w:rPr>
        <w:t>Notwithstanding this, feasibility of some of these plans is contingent upon factors outside of the control of the Company and, as such, the Company concluded that substantial doubt about its ability to continue as a going concern has not been alleviated as of the reporting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opinion of the management, all adjustments (which include normal recurring adjustments) necessary to present a fair statement of the financial position as of June 30, 2026, the results of operations and cash flows for the six months ended June 30, 2025 and 2026, have been made.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accordance with U.S. GAAP requires management to make estimates and assumptions that affect the reported amounts of assets and liabilities, related disclosures of contingent assets and liabilities at the date of the unaudited condensed consolidated financial statements and reported revenues and expenses during the periods presented in the unaudited condensed consolidated financial statements and accompanying notes. Significant accounting estimates include, but not limited to, expected credit losses for accounts receivable and amounts due from related parties; recoverability of contract cost assets included in other current assets and non-current assets; valuation of inventories; accrual for warranty obligations; useful lives and recoverability of property, equipment and intangible assets; impairment of goodwill; recoverability and fair value of long-term investments; fair values of share-based compensation awards; and incremental borrowing rates of the Group’s leases. Changes in facts and circumstances may result in these estimates to be revised. Actual results could differ from those estimates, and as such, differences may be material to the unaudited condensed consolidated financial statements.</w:t>
      </w:r>
    </w:p>
    <w:p>
      <w:pPr>
        <w:pStyle w:val="TextBody"/>
        <w:bidi w:val="0"/>
        <w:spacing w:lineRule="atLeast" w:line="240"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(b) Risks and concentration</w:t>
      </w:r>
    </w:p>
    <w:p>
      <w:pPr>
        <w:pStyle w:val="TextBody"/>
        <w:bidi w:val="0"/>
        <w:spacing w:lineRule="atLeast"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Group to concentrations of credit risk consist principally of cash, restricted cash, short-term investments, accounts receivables, notes receivable, amounts due from related parties, other receivables included in prepayments and other current assets and other non-current assets.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Group’s policy requires cash, restricted cash and short-term investments to be placed with high-quality financial institutions at below locations. The Group regularly evaluates the credit standing of the counterparties or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tbl>
      <w:tblPr>
        <w:tblW w:w="10205" w:type="dxa"/>
        <w:jc w:val="left"/>
        <w:tblInd w:w="0" w:type="dxa"/>
        <w:tblLayout w:type="fixed"/>
        <w:tblCellMar>
          <w:top w:w="28" w:type="dxa"/>
          <w:left w:w="28" w:type="dxa"/>
          <w:bottom w:w="28" w:type="dxa"/>
          <w:right w:w="28" w:type="dxa"/>
        </w:tblCellMar>
      </w:tblPr>
      <w:tblGrid>
        <w:gridCol w:w="2654"/>
        <w:gridCol w:w="2283"/>
        <w:gridCol w:w="2298"/>
        <w:gridCol w:w="504"/>
        <w:gridCol w:w="453"/>
        <w:gridCol w:w="436"/>
        <w:gridCol w:w="109"/>
        <w:gridCol w:w="109"/>
        <w:gridCol w:w="109"/>
        <w:gridCol w:w="440"/>
        <w:gridCol w:w="401"/>
        <w:gridCol w:w="409"/>
      </w:tblGrid>
      <w:tr>
        <w:trPr/>
        <w:tc>
          <w:tcPr>
            <w:tcW w:w="265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723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7235" w:type="dxa"/>
            <w:gridSpan w:val="3"/>
            <w:vMerge w:val="continue"/>
            <w:tcBorders/>
            <w:tcMar>
              <w:top w:w="0" w:type="dxa"/>
              <w:left w:w="0" w:type="dxa"/>
              <w:bottom w:w="0" w:type="dxa"/>
              <w:right w:w="0" w:type="dxa"/>
            </w:tcMar>
            <w:vAlign w:val="center"/>
          </w:tcPr>
          <w:p>
            <w:pPr>
              <w:pStyle w:val="Normal"/>
              <w:bidi w:val="0"/>
              <w:jc w:val="left"/>
              <w:rPr/>
            </w:pPr>
            <w:r>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institutions in the Chinese mainland</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Denominated in RMB</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154,994 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Denominated in US$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Denominated in Great Britain Pound (“GBP”)</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Total balances of cash, restricted cash and short-term investments held in the Chinese mainland</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80,686</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157,424</w:t>
            </w: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institutions in Hong Kong</w:t>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Denominated in US$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46,694 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xml:space="preserve">– </w:t>
            </w:r>
            <w:r>
              <w:rPr>
                <w:rFonts w:ascii="Times New Roman;serif" w:hAnsi="Times New Roman;serif"/>
                <w:b w:val="false"/>
                <w:color w:val="000000"/>
                <w:sz w:val="20"/>
              </w:rPr>
              <w:t>Denominated in Hong Kong Dollars (“HKD”)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xml:space="preserve">– </w:t>
            </w:r>
            <w:r>
              <w:rPr>
                <w:rFonts w:ascii="Times New Roman;serif" w:hAnsi="Times New Roman;serif"/>
                <w:b w:val="false"/>
                <w:color w:val="000000"/>
                <w:sz w:val="20"/>
              </w:rPr>
              <w:t>Denominated in RMB</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Total balances of cash, restricted cash and short-term investments held in Hong Kong</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31,245</w:t>
            </w:r>
            <w:r>
              <w:rPr>
                <w:color w:val="000000"/>
              </w:rPr>
              <w:t>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46,724</w:t>
            </w: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institutions in Sweden</w:t>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Denominated in Euro</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 xml:space="preserve">Denominated in Swedish Krona (“SEK”) </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Denominated in US$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balances of cash, restricted cash and short-term investments held in Sweden</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10,164</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4,737</w:t>
            </w: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balances of cash, restricted cash and short-term investments held at financial institutions in other jurisdictions</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2,319</w:t>
            </w:r>
            <w:r>
              <w:rPr>
                <w:color w:val="000000"/>
              </w:rPr>
              <w:t>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3,224</w:t>
            </w: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balances of cash, restricted cash and short-term investments held at financial institutions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124,414</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212,109</w:t>
            </w: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on hand</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balances of cash, restricted cash and short-term investments</w:t>
            </w:r>
          </w:p>
        </w:tc>
        <w:tc>
          <w:tcPr>
            <w:tcW w:w="9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124,414</w:t>
            </w:r>
            <w:r>
              <w:rPr>
                <w:color w:val="000000"/>
              </w:rPr>
              <w:t>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212,109</w:t>
            </w:r>
            <w:r>
              <w:rPr>
                <w:color w:val="000000"/>
              </w:rPr>
              <w:t>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Group conducts credit evaluations on its customers prior to delivery of goods or services. The assessment of customer creditworthiness is primarily based on historical collection records, research of publicly available information and customer on site visits by senior management. Based on this analysis, the Group determines what credit terms, if any, to offer to each customer individually. If the assessment indicates a likelihood of collection risk, the Group will not deliver the services or sell the products to the customer or require the customer to pay cash to secure payment or to make significant down payments.</w:t>
      </w:r>
    </w:p>
    <w:p>
      <w:pPr>
        <w:pStyle w:val="TextBody"/>
        <w:bidi w:val="0"/>
        <w:spacing w:lineRule="auto" w:line="288" w:before="0" w:after="0"/>
        <w:jc w:val="left"/>
        <w:rPr/>
      </w:pPr>
      <w:r>
        <w:rPr>
          <w:rFonts w:ascii="Times New Roman;serif" w:hAnsi="Times New Roman;serif"/>
          <w:b w:val="false"/>
          <w:i/>
          <w:color w:val="000000"/>
          <w:sz w:val="20"/>
        </w:rPr>
        <w:t>Concentration of</w:t>
      </w:r>
      <w:r>
        <w:rPr>
          <w:color w:val="000000"/>
        </w:rPr>
        <w:t xml:space="preserve"> </w:t>
      </w:r>
      <w:r>
        <w:rPr>
          <w:rFonts w:ascii="Times New Roman;serif" w:hAnsi="Times New Roman;serif"/>
          <w:b w:val="false"/>
          <w:i/>
          <w:color w:val="000000"/>
          <w:sz w:val="20"/>
        </w:rPr>
        <w:t>customers and suppliers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currently has a concentrated customer base with a limited number of key customers, particularly Zhejiang Geely Holding Group Co. Ltd. (“Geely Group”) and its subsidiaries. </w:t>
      </w:r>
    </w:p>
    <w:p>
      <w:pPr>
        <w:pStyle w:val="TextBody"/>
        <w:bidi w:val="0"/>
        <w:spacing w:lineRule="auto" w:line="288" w:before="240" w:after="283"/>
        <w:jc w:val="left"/>
        <w:rPr/>
      </w:pPr>
      <w:r>
        <w:rPr>
          <w:rFonts w:ascii="Times New Roman;serif" w:hAnsi="Times New Roman;serif"/>
          <w:b w:val="false"/>
          <w:color w:val="000000"/>
          <w:sz w:val="20"/>
        </w:rPr>
        <w:t xml:space="preserve">The following table summarizes customers with greater than </w:t>
      </w:r>
      <w:r>
        <w:rPr>
          <w:rFonts w:ascii="Times New Roman;serif" w:hAnsi="Times New Roman;serif"/>
          <w:b w:val="false"/>
          <w:color w:val="000000"/>
          <w:sz w:val="20"/>
          <w:shd w:fill="FFFFFF" w:val="clear"/>
        </w:rPr>
        <w:t>10.0%</w:t>
      </w:r>
      <w:r>
        <w:rPr>
          <w:color w:val="000000"/>
        </w:rPr>
        <w:t xml:space="preserve"> </w:t>
      </w:r>
      <w:r>
        <w:rPr>
          <w:rFonts w:ascii="Times New Roman;serif" w:hAnsi="Times New Roman;serif"/>
          <w:b w:val="false"/>
          <w:color w:val="000000"/>
          <w:sz w:val="20"/>
        </w:rPr>
        <w:t>of the accounts receivable - related parties, net:</w:t>
      </w:r>
    </w:p>
    <w:tbl>
      <w:tblPr>
        <w:tblW w:w="5797" w:type="dxa"/>
        <w:jc w:val="left"/>
        <w:tblInd w:w="0" w:type="dxa"/>
        <w:tblLayout w:type="fixed"/>
        <w:tblCellMar>
          <w:top w:w="28" w:type="dxa"/>
          <w:left w:w="28" w:type="dxa"/>
          <w:bottom w:w="28" w:type="dxa"/>
          <w:right w:w="28" w:type="dxa"/>
        </w:tblCellMar>
      </w:tblPr>
      <w:tblGrid>
        <w:gridCol w:w="993"/>
        <w:gridCol w:w="873"/>
        <w:gridCol w:w="878"/>
        <w:gridCol w:w="337"/>
        <w:gridCol w:w="337"/>
        <w:gridCol w:w="840"/>
        <w:gridCol w:w="109"/>
        <w:gridCol w:w="109"/>
        <w:gridCol w:w="109"/>
        <w:gridCol w:w="255"/>
        <w:gridCol w:w="256"/>
        <w:gridCol w:w="701"/>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Geely Group and its subsidiaries</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color w:val="000000"/>
          <w:sz w:val="20"/>
        </w:rPr>
        <w:t xml:space="preserve">The following table summarizes customers with greater than </w:t>
      </w:r>
      <w:r>
        <w:rPr>
          <w:rFonts w:ascii="Times New Roman;serif" w:hAnsi="Times New Roman;serif"/>
          <w:b w:val="false"/>
          <w:color w:val="000000"/>
          <w:sz w:val="20"/>
          <w:shd w:fill="FFFFFF" w:val="clear"/>
        </w:rPr>
        <w:t>10.0%</w:t>
      </w:r>
      <w:r>
        <w:rPr>
          <w:color w:val="000000"/>
        </w:rPr>
        <w:t xml:space="preserve"> </w:t>
      </w:r>
      <w:r>
        <w:rPr>
          <w:rFonts w:ascii="Times New Roman;serif" w:hAnsi="Times New Roman;serif"/>
          <w:b w:val="false"/>
          <w:color w:val="000000"/>
          <w:sz w:val="20"/>
        </w:rPr>
        <w:t>of the accounts receivable - third parties, net:</w:t>
      </w:r>
    </w:p>
    <w:tbl>
      <w:tblPr>
        <w:tblW w:w="5484" w:type="dxa"/>
        <w:jc w:val="left"/>
        <w:tblInd w:w="0" w:type="dxa"/>
        <w:tblLayout w:type="fixed"/>
        <w:tblCellMar>
          <w:top w:w="28" w:type="dxa"/>
          <w:left w:w="28" w:type="dxa"/>
          <w:bottom w:w="28" w:type="dxa"/>
          <w:right w:w="28" w:type="dxa"/>
        </w:tblCellMar>
      </w:tblPr>
      <w:tblGrid>
        <w:gridCol w:w="781"/>
        <w:gridCol w:w="688"/>
        <w:gridCol w:w="690"/>
        <w:gridCol w:w="337"/>
        <w:gridCol w:w="337"/>
        <w:gridCol w:w="840"/>
        <w:gridCol w:w="109"/>
        <w:gridCol w:w="109"/>
        <w:gridCol w:w="109"/>
        <w:gridCol w:w="312"/>
        <w:gridCol w:w="313"/>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a third party</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a third party</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a third party</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10.0%</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a third party</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88" w:before="240" w:after="283"/>
        <w:jc w:val="left"/>
        <w:rPr/>
      </w:pPr>
      <w:r>
        <w:rPr>
          <w:rFonts w:ascii="Times New Roman;serif" w:hAnsi="Times New Roman;serif"/>
          <w:b w:val="false"/>
          <w:color w:val="000000"/>
          <w:sz w:val="20"/>
        </w:rPr>
        <w:t xml:space="preserve">Customers contributing more than </w:t>
      </w:r>
      <w:r>
        <w:rPr>
          <w:rFonts w:ascii="Times New Roman;serif" w:hAnsi="Times New Roman;serif"/>
          <w:b w:val="false"/>
          <w:color w:val="000000"/>
          <w:sz w:val="20"/>
          <w:shd w:fill="FFFFFF" w:val="clear"/>
        </w:rPr>
        <w:t>10.0%</w:t>
      </w:r>
      <w:r>
        <w:rPr>
          <w:color w:val="000000"/>
        </w:rPr>
        <w:t xml:space="preserve"> </w:t>
      </w:r>
      <w:r>
        <w:rPr>
          <w:rFonts w:ascii="Times New Roman;serif" w:hAnsi="Times New Roman;serif"/>
          <w:b w:val="false"/>
          <w:color w:val="000000"/>
          <w:sz w:val="20"/>
        </w:rPr>
        <w:t>of total related parties and third parties’ revenues were as follows:</w:t>
      </w:r>
    </w:p>
    <w:tbl>
      <w:tblPr>
        <w:tblW w:w="5195" w:type="dxa"/>
        <w:jc w:val="left"/>
        <w:tblInd w:w="0" w:type="dxa"/>
        <w:tblLayout w:type="fixed"/>
        <w:tblCellMar>
          <w:top w:w="28" w:type="dxa"/>
          <w:left w:w="28" w:type="dxa"/>
          <w:bottom w:w="28" w:type="dxa"/>
          <w:right w:w="28" w:type="dxa"/>
        </w:tblCellMar>
      </w:tblPr>
      <w:tblGrid>
        <w:gridCol w:w="993"/>
        <w:gridCol w:w="873"/>
        <w:gridCol w:w="878"/>
        <w:gridCol w:w="255"/>
        <w:gridCol w:w="256"/>
        <w:gridCol w:w="424"/>
        <w:gridCol w:w="170"/>
        <w:gridCol w:w="170"/>
        <w:gridCol w:w="170"/>
        <w:gridCol w:w="255"/>
        <w:gridCol w:w="256"/>
        <w:gridCol w:w="495"/>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Geely Group and its subsidiaries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revenue above from Geely Group and its subsidiaries excluded the sales of SoC core modules or software licenses by the Group to its third-party customers that were integrated into infotainment and cockpit products and sold by such third-party customers to Geely Group and its subsidiaries.</w:t>
      </w:r>
    </w:p>
    <w:p>
      <w:pPr>
        <w:pStyle w:val="TextBody"/>
        <w:bidi w:val="0"/>
        <w:spacing w:lineRule="auto" w:line="288" w:before="240" w:after="283"/>
        <w:jc w:val="left"/>
        <w:rPr/>
      </w:pPr>
      <w:r>
        <w:rPr>
          <w:rFonts w:ascii="Times New Roman;serif" w:hAnsi="Times New Roman;serif"/>
          <w:b w:val="false"/>
          <w:color w:val="000000"/>
          <w:sz w:val="20"/>
        </w:rPr>
        <w:t xml:space="preserve">The following table summarizes suppliers with greater than </w:t>
      </w:r>
      <w:r>
        <w:rPr>
          <w:rFonts w:ascii="Times New Roman;serif" w:hAnsi="Times New Roman;serif"/>
          <w:b w:val="false"/>
          <w:color w:val="000000"/>
          <w:sz w:val="20"/>
          <w:shd w:fill="FFFFFF" w:val="clear"/>
        </w:rPr>
        <w:t>10.0%</w:t>
      </w:r>
      <w:r>
        <w:rPr>
          <w:color w:val="000000"/>
        </w:rPr>
        <w:t xml:space="preserve"> </w:t>
      </w:r>
      <w:r>
        <w:rPr>
          <w:rFonts w:ascii="Times New Roman;serif" w:hAnsi="Times New Roman;serif"/>
          <w:b w:val="false"/>
          <w:color w:val="000000"/>
          <w:sz w:val="20"/>
        </w:rPr>
        <w:t>of the total related parties and third parties’ accounts payable:</w:t>
      </w:r>
    </w:p>
    <w:tbl>
      <w:tblPr>
        <w:tblW w:w="5288" w:type="dxa"/>
        <w:jc w:val="left"/>
        <w:tblInd w:w="0" w:type="dxa"/>
        <w:tblLayout w:type="fixed"/>
        <w:tblCellMar>
          <w:top w:w="28" w:type="dxa"/>
          <w:left w:w="28" w:type="dxa"/>
          <w:bottom w:w="28" w:type="dxa"/>
          <w:right w:w="28" w:type="dxa"/>
        </w:tblCellMar>
      </w:tblPr>
      <w:tblGrid>
        <w:gridCol w:w="810"/>
        <w:gridCol w:w="711"/>
        <w:gridCol w:w="714"/>
        <w:gridCol w:w="337"/>
        <w:gridCol w:w="337"/>
        <w:gridCol w:w="840"/>
        <w:gridCol w:w="109"/>
        <w:gridCol w:w="109"/>
        <w:gridCol w:w="109"/>
        <w:gridCol w:w="255"/>
        <w:gridCol w:w="256"/>
        <w:gridCol w:w="701"/>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 a third party</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B, a third party</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C, a related party</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color w:val="000000"/>
          <w:sz w:val="20"/>
        </w:rPr>
        <w:t xml:space="preserve">Suppliers accounting for more than </w:t>
      </w:r>
      <w:r>
        <w:rPr>
          <w:rFonts w:ascii="Times New Roman;serif" w:hAnsi="Times New Roman;serif"/>
          <w:b w:val="false"/>
          <w:color w:val="000000"/>
          <w:sz w:val="20"/>
          <w:shd w:fill="FFFFFF" w:val="clear"/>
        </w:rPr>
        <w:t>10.0%</w:t>
      </w:r>
      <w:r>
        <w:rPr>
          <w:color w:val="000000"/>
        </w:rPr>
        <w:t xml:space="preserve"> </w:t>
      </w:r>
      <w:r>
        <w:rPr>
          <w:rFonts w:ascii="Times New Roman;serif" w:hAnsi="Times New Roman;serif"/>
          <w:b w:val="false"/>
          <w:color w:val="000000"/>
          <w:sz w:val="20"/>
        </w:rPr>
        <w:t>of total related parties and third parties’ purchases were as follows:</w:t>
      </w:r>
    </w:p>
    <w:tbl>
      <w:tblPr>
        <w:tblW w:w="4999" w:type="dxa"/>
        <w:jc w:val="left"/>
        <w:tblInd w:w="0" w:type="dxa"/>
        <w:tblLayout w:type="fixed"/>
        <w:tblCellMar>
          <w:top w:w="28" w:type="dxa"/>
          <w:left w:w="28" w:type="dxa"/>
          <w:bottom w:w="28" w:type="dxa"/>
          <w:right w:w="28" w:type="dxa"/>
        </w:tblCellMar>
      </w:tblPr>
      <w:tblGrid>
        <w:gridCol w:w="750"/>
        <w:gridCol w:w="658"/>
        <w:gridCol w:w="661"/>
        <w:gridCol w:w="255"/>
        <w:gridCol w:w="256"/>
        <w:gridCol w:w="424"/>
        <w:gridCol w:w="170"/>
        <w:gridCol w:w="170"/>
        <w:gridCol w:w="170"/>
        <w:gridCol w:w="376"/>
        <w:gridCol w:w="378"/>
        <w:gridCol w:w="731"/>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 a third party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B, a third party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10.0%</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D, a third party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10.0%</w:t>
            </w:r>
          </w:p>
        </w:tc>
      </w:tr>
    </w:tbl>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(c) Fair value measurements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measures certain assets and liabilities at fair value. Fair value is the exit price, or the amount that would be received to sell an asset or paid to transfer a liability in an orderly transaction between market participants as of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hierarchy consists of the following three levels: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 Observable inputs that reflect quoted prices (unadjusted) for identical assets or liabilities in active markets.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 Includes other inputs that are directly or indirectly observable in the marketplace.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 Inputs are derived from valuation techniques in which one or more significant inputs or value drivers are unobservable.</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(d) Recently adopted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This ASU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This update is effective for the Group from January 1, 2026, including interim periods within those annual reporting years. The Group adopted this ASU on January 1, 2026 prospectively and the adoption did not have a material impact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    Cash and restricted cash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cash and restricted cash in the unaudited condensed consolidated balance sheets to the amounts in the unaudited condensed consolidated statements of cash flows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9"/>
        <w:gridCol w:w="2275"/>
        <w:gridCol w:w="2283"/>
        <w:gridCol w:w="497"/>
        <w:gridCol w:w="469"/>
        <w:gridCol w:w="471"/>
        <w:gridCol w:w="109"/>
        <w:gridCol w:w="109"/>
        <w:gridCol w:w="109"/>
        <w:gridCol w:w="440"/>
        <w:gridCol w:w="401"/>
        <w:gridCol w:w="453"/>
      </w:tblGrid>
      <w:tr>
        <w:trPr/>
        <w:tc>
          <w:tcPr>
            <w:tcW w:w="258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banks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shown in the unaudited condensed consolidated statements of cash flows</w:t>
            </w:r>
          </w:p>
        </w:tc>
        <w:tc>
          <w:tcPr>
            <w:tcW w:w="9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93,256</w:t>
            </w: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165,415</w:t>
            </w:r>
            <w:r>
              <w:rPr>
                <w:color w:val="000000"/>
              </w:rPr>
              <w:t>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Group’s restricted cash of US$6,138 and US$6,312 were pledged for notes payable, and nil and US$2,946 were pledged for letter of credit,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    Accounts receivable, net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p>
      <w:pPr>
        <w:pStyle w:val="TextBody"/>
        <w:bidi w:val="0"/>
        <w:spacing w:before="0" w:after="0"/>
        <w:jc w:val="left"/>
        <w:rPr/>
      </w:pPr>
      <w:r>
        <w:rPr/>
      </w:r>
    </w:p>
    <w:tbl>
      <w:tblPr>
        <w:tblW w:w="7164" w:type="dxa"/>
        <w:jc w:val="left"/>
        <w:tblInd w:w="0" w:type="dxa"/>
        <w:tblLayout w:type="fixed"/>
        <w:tblCellMar>
          <w:top w:w="28" w:type="dxa"/>
          <w:left w:w="28" w:type="dxa"/>
          <w:bottom w:w="28" w:type="dxa"/>
          <w:right w:w="28" w:type="dxa"/>
        </w:tblCellMar>
      </w:tblPr>
      <w:tblGrid>
        <w:gridCol w:w="1444"/>
        <w:gridCol w:w="1269"/>
        <w:gridCol w:w="1277"/>
        <w:gridCol w:w="504"/>
        <w:gridCol w:w="504"/>
        <w:gridCol w:w="506"/>
        <w:gridCol w:w="109"/>
        <w:gridCol w:w="109"/>
        <w:gridCol w:w="109"/>
        <w:gridCol w:w="439"/>
        <w:gridCol w:w="402"/>
        <w:gridCol w:w="492"/>
      </w:tblGrid>
      <w:tr>
        <w:trPr/>
        <w:tc>
          <w:tcPr>
            <w:tcW w:w="144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9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990" w:type="dxa"/>
            <w:gridSpan w:val="3"/>
            <w:vMerge w:val="continue"/>
            <w:tcBorders/>
            <w:tcMar>
              <w:top w:w="0" w:type="dxa"/>
              <w:left w:w="0" w:type="dxa"/>
              <w:bottom w:w="0" w:type="dxa"/>
              <w:right w:w="0" w:type="dxa"/>
            </w:tcMar>
            <w:vAlign w:val="center"/>
          </w:tcPr>
          <w:p>
            <w:pPr>
              <w:pStyle w:val="Normal"/>
              <w:bidi w:val="0"/>
              <w:jc w:val="left"/>
              <w:rPr/>
            </w:pPr>
            <w:r>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third parties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third parties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third parties, net</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14,806</w:t>
            </w: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38,416</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related parties</w:t>
            </w:r>
          </w:p>
        </w:tc>
        <w:tc>
          <w:tcPr>
            <w:tcW w:w="10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186,705 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210,001 </w:t>
            </w:r>
          </w:p>
        </w:tc>
        <w:tc>
          <w:tcPr>
            <w:tcW w:w="4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related parties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related parties, net</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185,536</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209,702</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movement of the allowance for doubtful accounts receivable is as follows:</w:t>
      </w:r>
    </w:p>
    <w:p>
      <w:pPr>
        <w:pStyle w:val="TextBody"/>
        <w:bidi w:val="0"/>
        <w:spacing w:before="0" w:after="0"/>
        <w:jc w:val="left"/>
        <w:rPr/>
      </w:pPr>
      <w:r>
        <w:rPr/>
      </w:r>
    </w:p>
    <w:tbl>
      <w:tblPr>
        <w:tblW w:w="6790" w:type="dxa"/>
        <w:jc w:val="left"/>
        <w:tblInd w:w="0" w:type="dxa"/>
        <w:tblLayout w:type="fixed"/>
        <w:tblCellMar>
          <w:top w:w="28" w:type="dxa"/>
          <w:left w:w="28" w:type="dxa"/>
          <w:bottom w:w="28" w:type="dxa"/>
          <w:right w:w="28" w:type="dxa"/>
        </w:tblCellMar>
      </w:tblPr>
      <w:tblGrid>
        <w:gridCol w:w="1363"/>
        <w:gridCol w:w="1199"/>
        <w:gridCol w:w="1203"/>
        <w:gridCol w:w="504"/>
        <w:gridCol w:w="504"/>
        <w:gridCol w:w="506"/>
        <w:gridCol w:w="109"/>
        <w:gridCol w:w="109"/>
        <w:gridCol w:w="109"/>
        <w:gridCol w:w="346"/>
        <w:gridCol w:w="346"/>
        <w:gridCol w:w="492"/>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7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765" w:type="dxa"/>
            <w:gridSpan w:val="3"/>
            <w:vMerge w:val="continue"/>
            <w:tcBorders/>
            <w:tcMar>
              <w:top w:w="0" w:type="dxa"/>
              <w:left w:w="0" w:type="dxa"/>
              <w:bottom w:w="0" w:type="dxa"/>
              <w:right w:w="0" w:type="dxa"/>
            </w:tcMar>
            <w:vAlign w:val="center"/>
          </w:tcPr>
          <w:p>
            <w:pPr>
              <w:pStyle w:val="Normal"/>
              <w:bidi w:val="0"/>
              <w:jc w:val="left"/>
              <w:rPr/>
            </w:pPr>
            <w:r>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the beginning of the year/period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3,467</w:t>
            </w: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w:t>
            </w: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the end of the year/period</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4.    Notes receivable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Group collects notes receivable from its customers for sales of automotive computing platform, SoC Core Modules and other products. Notes receivable as of December 31, 2025 and June 30, 2026 were bank acceptance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1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p>
      <w:pPr>
        <w:pStyle w:val="TextBody"/>
        <w:bidi w:val="0"/>
        <w:spacing w:before="0" w:after="0"/>
        <w:jc w:val="left"/>
        <w:rPr/>
      </w:pPr>
      <w:r>
        <w:rPr/>
      </w:r>
    </w:p>
    <w:tbl>
      <w:tblPr>
        <w:tblW w:w="4630" w:type="dxa"/>
        <w:jc w:val="left"/>
        <w:tblInd w:w="0" w:type="dxa"/>
        <w:tblLayout w:type="fixed"/>
        <w:tblCellMar>
          <w:top w:w="28" w:type="dxa"/>
          <w:left w:w="28" w:type="dxa"/>
          <w:bottom w:w="28" w:type="dxa"/>
          <w:right w:w="28" w:type="dxa"/>
        </w:tblCellMar>
      </w:tblPr>
      <w:tblGrid>
        <w:gridCol w:w="527"/>
        <w:gridCol w:w="462"/>
        <w:gridCol w:w="467"/>
        <w:gridCol w:w="504"/>
        <w:gridCol w:w="504"/>
        <w:gridCol w:w="506"/>
        <w:gridCol w:w="109"/>
        <w:gridCol w:w="109"/>
        <w:gridCol w:w="109"/>
        <w:gridCol w:w="440"/>
        <w:gridCol w:w="401"/>
        <w:gridCol w:w="492"/>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40,718 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62,341</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126,222</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Group recorded inventory write-down of US$387 and US$442 for the six months ended June 30, 2025 and 2026,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6.    Prepayments and other current assets, net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 net consisted of the following:</w:t>
      </w:r>
    </w:p>
    <w:p>
      <w:pPr>
        <w:pStyle w:val="TextBody"/>
        <w:bidi w:val="0"/>
        <w:spacing w:before="0" w:after="0"/>
        <w:jc w:val="left"/>
        <w:rPr/>
      </w:pPr>
      <w:r>
        <w:rPr/>
      </w:r>
    </w:p>
    <w:tbl>
      <w:tblPr>
        <w:tblW w:w="6699" w:type="dxa"/>
        <w:jc w:val="left"/>
        <w:tblInd w:w="0" w:type="dxa"/>
        <w:tblLayout w:type="fixed"/>
        <w:tblCellMar>
          <w:top w:w="28" w:type="dxa"/>
          <w:left w:w="28" w:type="dxa"/>
          <w:bottom w:w="28" w:type="dxa"/>
          <w:right w:w="28" w:type="dxa"/>
        </w:tblCellMar>
      </w:tblPr>
      <w:tblGrid>
        <w:gridCol w:w="1315"/>
        <w:gridCol w:w="1156"/>
        <w:gridCol w:w="1159"/>
        <w:gridCol w:w="504"/>
        <w:gridCol w:w="504"/>
        <w:gridCol w:w="506"/>
        <w:gridCol w:w="109"/>
        <w:gridCol w:w="109"/>
        <w:gridCol w:w="109"/>
        <w:gridCol w:w="385"/>
        <w:gridCol w:w="351"/>
        <w:gridCol w:w="492"/>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to suppliers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Deductible VAT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Prepayments and other current assets, net</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36,383</w:t>
            </w:r>
            <w:r>
              <w:rPr>
                <w:color w:val="000000"/>
              </w:rPr>
              <w:t>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62,001</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 provision was made for impairment of prepayments and other current assets as of December 31, 2025 and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7.    Long-term investments, net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75"/>
        <w:gridCol w:w="2268"/>
        <w:gridCol w:w="2281"/>
        <w:gridCol w:w="494"/>
        <w:gridCol w:w="453"/>
        <w:gridCol w:w="455"/>
        <w:gridCol w:w="109"/>
        <w:gridCol w:w="109"/>
        <w:gridCol w:w="109"/>
        <w:gridCol w:w="496"/>
        <w:gridCol w:w="322"/>
        <w:gridCol w:w="434"/>
      </w:tblGrid>
      <w:tr>
        <w:trPr/>
        <w:tc>
          <w:tcPr>
            <w:tcW w:w="267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SiEngine Technology Co., Ltd. (“SiEngine”)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Shenzhen U Chance Technology Co., Ltd. (“U Chance”)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ACO Tech Sdn. Bhd. (“ACO Tech”)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Hangzhou Fuyang Zeji Qushi Equity Investment Fund Partnership (Limited Partnership) (“Fuyang Fund”)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investments, net</w:t>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61,503</w:t>
            </w:r>
            <w:r>
              <w:rPr>
                <w:color w:val="000000"/>
              </w:rPr>
              <w:t>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61,629</w:t>
            </w:r>
            <w:r>
              <w:rPr>
                <w:color w:val="000000"/>
              </w:rPr>
              <w:t>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Equity method investments, net</w:t>
      </w:r>
    </w:p>
    <w:p>
      <w:pPr>
        <w:pStyle w:val="TextBody"/>
        <w:bidi w:val="0"/>
        <w:spacing w:before="0" w:after="0"/>
        <w:jc w:val="left"/>
        <w:rPr/>
      </w:pPr>
      <w:r>
        <w:rPr/>
      </w:r>
    </w:p>
    <w:p>
      <w:pPr>
        <w:pStyle w:val="TextBody"/>
        <w:bidi w:val="0"/>
        <w:spacing w:lineRule="auto" w:line="268" w:before="0" w:after="0"/>
        <w:ind w:left="0" w:right="0" w:hanging="90"/>
        <w:jc w:val="left"/>
        <w:rPr/>
      </w:pPr>
      <w:r>
        <w:rPr>
          <w:color w:val="000000"/>
        </w:rPr>
        <w:t>•</w:t>
      </w:r>
      <w:r>
        <w:rPr>
          <w:rFonts w:ascii="Times New Roman;serif" w:hAnsi="Times New Roman;serif"/>
          <w:b w:val="false"/>
          <w:i/>
          <w:color w:val="000000"/>
          <w:sz w:val="20"/>
        </w:rPr>
        <w:t>SiEngine</w:t>
      </w:r>
    </w:p>
    <w:p>
      <w:pPr>
        <w:pStyle w:val="TextBody"/>
        <w:bidi w:val="0"/>
        <w:spacing w:before="0" w:after="0"/>
        <w:ind w:left="0" w:right="0" w:firstLine="27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the Group disposed of 1.31% of its equity interest in SiEngine to a third-party investor for a consideration of RMB100,000 (equivalent to US$14,452), which was received in May 2026. As the carrying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Group’s equity interest in SiEngine is zero, the entire amount was recorded as a gain and included in Gain from equity method investments, net.</w:t>
      </w:r>
    </w:p>
    <w:p>
      <w:pPr>
        <w:pStyle w:val="TextBody"/>
        <w:bidi w:val="0"/>
        <w:spacing w:before="0" w:after="0"/>
        <w:jc w:val="left"/>
        <w:rPr/>
      </w:pPr>
      <w:r>
        <w:rPr/>
      </w:r>
    </w:p>
    <w:p>
      <w:pPr>
        <w:pStyle w:val="TextBody"/>
        <w:bidi w:val="0"/>
        <w:spacing w:lineRule="auto" w:line="268" w:before="0" w:after="0"/>
        <w:ind w:left="0" w:right="0" w:hanging="90"/>
        <w:jc w:val="left"/>
        <w:rPr/>
      </w:pPr>
      <w:r>
        <w:rPr>
          <w:color w:val="000000"/>
        </w:rPr>
        <w:t>•</w:t>
      </w:r>
      <w:r>
        <w:rPr>
          <w:rFonts w:ascii="Times New Roman;serif" w:hAnsi="Times New Roman;serif"/>
          <w:b w:val="false"/>
          <w:i/>
          <w:color w:val="000000"/>
          <w:sz w:val="20"/>
        </w:rPr>
        <w:t>U Chance</w:t>
      </w:r>
    </w:p>
    <w:p>
      <w:pPr>
        <w:pStyle w:val="TextBody"/>
        <w:bidi w:val="0"/>
        <w:spacing w:before="0" w:after="0"/>
        <w:ind w:left="0" w:right="0" w:firstLine="27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2026, the Group disposed its entire equity interest in U Chance to Hubei Dongjun Industrial Group for a consideration of RMB6,132 (equivalent to US$878). US$291 was recorded as a loss and included in Gain from equity method investments, net.</w:t>
      </w:r>
    </w:p>
    <w:p>
      <w:pPr>
        <w:pStyle w:val="TextBody"/>
        <w:bidi w:val="0"/>
        <w:spacing w:before="0" w:after="0"/>
        <w:jc w:val="left"/>
        <w:rPr/>
      </w:pPr>
      <w:r>
        <w:rPr/>
      </w:r>
    </w:p>
    <w:p>
      <w:pPr>
        <w:pStyle w:val="TextBody"/>
        <w:bidi w:val="0"/>
        <w:spacing w:lineRule="auto" w:line="268" w:before="0" w:after="0"/>
        <w:ind w:left="0" w:right="0" w:hanging="90"/>
        <w:jc w:val="left"/>
        <w:rPr/>
      </w:pPr>
      <w:r>
        <w:rPr>
          <w:color w:val="000000"/>
        </w:rPr>
        <w:t>•</w:t>
      </w:r>
      <w:r>
        <w:rPr>
          <w:rFonts w:ascii="Times New Roman;serif" w:hAnsi="Times New Roman;serif"/>
          <w:b w:val="false"/>
          <w:i/>
          <w:color w:val="000000"/>
          <w:sz w:val="20"/>
        </w:rPr>
        <w:t>Fuyang Fund</w:t>
      </w:r>
    </w:p>
    <w:p>
      <w:pPr>
        <w:pStyle w:val="TextBody"/>
        <w:bidi w:val="0"/>
        <w:spacing w:before="0" w:after="0"/>
        <w:ind w:left="0" w:right="0" w:firstLine="27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2026, the Group entered into a limited partnership agreement with three other third-party investors to establish Fuyang Fund, a limited partnership established to invest in early-stage companies with growth potential and seek financial returns and potential business synergies. The Group agreed to contribute RMB10,000 (equivalent to US$1,474) to obtain a 10% partnership interest in Fuyang Fund. In April 2026, the Group contributed RMB5,000 (equivalent to US$737) to Fuyang Fund and obtained 5% partnership interest.Based on the article of association, the Company cannot exercise control over relevant activities of the investee, but it has the ability to exercise significant influence over operation and financial decisions. As of June 30, 2026, the Group had not recognized any gain or loss from its investment in Fuyang Fund.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Equity securities</w:t>
      </w:r>
    </w:p>
    <w:p>
      <w:pPr>
        <w:pStyle w:val="TextBody"/>
        <w:bidi w:val="0"/>
        <w:spacing w:before="0" w:after="0"/>
        <w:jc w:val="left"/>
        <w:rPr/>
      </w:pPr>
      <w:r>
        <w:rPr/>
      </w:r>
    </w:p>
    <w:p>
      <w:pPr>
        <w:pStyle w:val="TextBody"/>
        <w:bidi w:val="0"/>
        <w:spacing w:lineRule="auto" w:line="268" w:before="0" w:after="0"/>
        <w:ind w:left="0" w:right="0" w:hanging="90"/>
        <w:jc w:val="left"/>
        <w:rPr/>
      </w:pPr>
      <w:r>
        <w:rPr>
          <w:color w:val="000000"/>
        </w:rPr>
        <w:t>•</w:t>
      </w:r>
      <w:r>
        <w:rPr>
          <w:rFonts w:ascii="Times New Roman;serif" w:hAnsi="Times New Roman;serif"/>
          <w:b w:val="false"/>
          <w:color w:val="000000"/>
          <w:sz w:val="20"/>
        </w:rPr>
        <w:t>Lotus Technology Inc. (“Lotus”)</w:t>
      </w:r>
    </w:p>
    <w:p>
      <w:pPr>
        <w:pStyle w:val="TextBody"/>
        <w:bidi w:val="0"/>
        <w:spacing w:before="0" w:after="0"/>
        <w:ind w:left="0" w:right="0" w:firstLine="27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2026, the Group purchased the second tranche of 4,379,562 ordinary shares of Lotus for US$6,000, upon which the forward contract was settled. The Company recognized a gain of US$219 from the change in fair value of the derivative asset, which was recorded in Other non-operating income (expenses), net. For the six months ended June 30, 2026, the Group recorded a loss of US$4,248 due to the change in market price of Lotus’s ordinary shares in Other non-operating (expenses) income, net in the consolidated statements of comprehensive loss.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Available-for-sale debt investments</w:t>
      </w:r>
    </w:p>
    <w:p>
      <w:pPr>
        <w:pStyle w:val="TextBody"/>
        <w:bidi w:val="0"/>
        <w:spacing w:before="0" w:after="0"/>
        <w:jc w:val="left"/>
        <w:rPr/>
      </w:pPr>
      <w:r>
        <w:rPr/>
      </w:r>
    </w:p>
    <w:p>
      <w:pPr>
        <w:pStyle w:val="TextBody"/>
        <w:bidi w:val="0"/>
        <w:spacing w:lineRule="auto" w:line="268" w:before="0" w:after="0"/>
        <w:ind w:left="0" w:right="0" w:hanging="90"/>
        <w:jc w:val="left"/>
        <w:rPr/>
      </w:pPr>
      <w:r>
        <w:rPr>
          <w:color w:val="000000"/>
        </w:rPr>
        <w:t>•</w:t>
      </w:r>
      <w:r>
        <w:rPr>
          <w:rFonts w:ascii="Times New Roman;serif" w:hAnsi="Times New Roman;serif"/>
          <w:b w:val="false"/>
          <w:color w:val="000000"/>
          <w:sz w:val="20"/>
        </w:rPr>
        <w:t>Investment in DreamSmart Technology Pte. Ltd. (“DreamSmart Singapore”)</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through its subsidiary, entered into a Convertible Loan arrangement with DreamSmart Singapore, ultimately controlled by the controlling shareholder of the Company, pursuant to which the Company provided RMB300,000 (equivalent to US$42,979) of funding to a subsidiary of DreamSmart Singapore, Hubei DreamSmart Group Co., Ltd. (“DreamSmart Hubei”) with a contractual term of 36 months.</w:t>
      </w:r>
    </w:p>
    <w:p>
      <w:pPr>
        <w:pStyle w:val="TextBody"/>
        <w:bidi w:val="0"/>
        <w:spacing w:before="0" w:after="0"/>
        <w:ind w:left="0" w:right="0" w:firstLine="27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reconciliation of the Level 3 fair value measurement of available-for-sale debt investments for the six months ended June 30, 2026.:</w:t>
      </w:r>
    </w:p>
    <w:p>
      <w:pPr>
        <w:pStyle w:val="TextBody"/>
        <w:bidi w:val="0"/>
        <w:spacing w:before="0" w:after="0"/>
        <w:jc w:val="left"/>
        <w:rPr/>
      </w:pPr>
      <w:r>
        <w:rPr/>
      </w:r>
    </w:p>
    <w:tbl>
      <w:tblPr>
        <w:tblW w:w="4357" w:type="dxa"/>
        <w:jc w:val="left"/>
        <w:tblInd w:w="0" w:type="dxa"/>
        <w:tblLayout w:type="fixed"/>
        <w:tblCellMar>
          <w:top w:w="28" w:type="dxa"/>
          <w:left w:w="28" w:type="dxa"/>
          <w:bottom w:w="28" w:type="dxa"/>
          <w:right w:w="28" w:type="dxa"/>
        </w:tblCellMar>
      </w:tblPr>
      <w:tblGrid>
        <w:gridCol w:w="1243"/>
        <w:gridCol w:w="1094"/>
        <w:gridCol w:w="1098"/>
        <w:gridCol w:w="368"/>
        <w:gridCol w:w="368"/>
        <w:gridCol w:w="18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42,833</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41,250</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available-for-sale debt investments is measured using income approach that involves several assumptions including risk-free interest rates and bond yields. The fair value of available-for-sale debt investments as of June 30, 2026 were estimated with the following key assumptions: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tbl>
      <w:tblPr>
        <w:tblW w:w="4123" w:type="dxa"/>
        <w:jc w:val="left"/>
        <w:tblInd w:w="0" w:type="dxa"/>
        <w:tblLayout w:type="fixed"/>
        <w:tblCellMar>
          <w:top w:w="28" w:type="dxa"/>
          <w:left w:w="28" w:type="dxa"/>
          <w:bottom w:w="28" w:type="dxa"/>
          <w:right w:w="28" w:type="dxa"/>
        </w:tblCellMar>
      </w:tblPr>
      <w:tblGrid>
        <w:gridCol w:w="918"/>
        <w:gridCol w:w="805"/>
        <w:gridCol w:w="811"/>
        <w:gridCol w:w="324"/>
        <w:gridCol w:w="324"/>
        <w:gridCol w:w="941"/>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China risk-free interest rate (i)</w:t>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1.29% </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risk-free interest rate (ii)</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Bond Yield (iii)</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i.The risk-free interest rate was estimated based on the yield to maturity of China Government Bond for a term consistent with the expected term of available-for-sale debt investments in effect at the valuation date.</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ii.The risk-free interest rate was estimated based on the yield to maturity of U.S. Treasury Bonds for a term consistent with the expected term of available-for-sale debt investments in effect at the valuation date.</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iii.The bond yield was estimated based on the market yield of comparable bonds with similar credit rating.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8.    Property and equipment, net</w:t>
      </w:r>
    </w:p>
    <w:p>
      <w:pPr>
        <w:pStyle w:val="TextBody"/>
        <w:bidi w:val="0"/>
        <w:spacing w:before="0" w:after="0"/>
        <w:jc w:val="left"/>
        <w:rPr/>
      </w:pPr>
      <w:r>
        <w:rPr/>
      </w:r>
    </w:p>
    <w:p>
      <w:pPr>
        <w:pStyle w:val="TextBody"/>
        <w:bidi w:val="0"/>
        <w:spacing w:lineRule="auto" w:line="28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before="0" w:after="0"/>
        <w:jc w:val="left"/>
        <w:rPr/>
      </w:pPr>
      <w:r>
        <w:rPr/>
      </w:r>
    </w:p>
    <w:tbl>
      <w:tblPr>
        <w:tblW w:w="6247" w:type="dxa"/>
        <w:jc w:val="left"/>
        <w:tblInd w:w="0" w:type="dxa"/>
        <w:tblLayout w:type="fixed"/>
        <w:tblCellMar>
          <w:top w:w="28" w:type="dxa"/>
          <w:left w:w="28" w:type="dxa"/>
          <w:bottom w:w="28" w:type="dxa"/>
          <w:right w:w="28" w:type="dxa"/>
        </w:tblCellMar>
      </w:tblPr>
      <w:tblGrid>
        <w:gridCol w:w="1129"/>
        <w:gridCol w:w="992"/>
        <w:gridCol w:w="998"/>
        <w:gridCol w:w="504"/>
        <w:gridCol w:w="504"/>
        <w:gridCol w:w="506"/>
        <w:gridCol w:w="109"/>
        <w:gridCol w:w="109"/>
        <w:gridCol w:w="109"/>
        <w:gridCol w:w="416"/>
        <w:gridCol w:w="379"/>
        <w:gridCol w:w="492"/>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electronic equipment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50,915 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vehicles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other equipment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63,076</w:t>
            </w:r>
            <w:r>
              <w:rPr>
                <w:color w:val="000000"/>
              </w:rPr>
              <w:t>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71,953</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(38,220)</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impairment </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26,705</w:t>
            </w:r>
            <w:r>
              <w:rPr>
                <w:color w:val="000000"/>
              </w:rPr>
              <w:t>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32,396</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on property and equipment was allocated as follows:</w:t>
      </w:r>
    </w:p>
    <w:p>
      <w:pPr>
        <w:pStyle w:val="TextBody"/>
        <w:bidi w:val="0"/>
        <w:spacing w:before="0" w:after="0"/>
        <w:jc w:val="left"/>
        <w:rPr/>
      </w:pPr>
      <w:r>
        <w:rPr/>
      </w:r>
    </w:p>
    <w:tbl>
      <w:tblPr>
        <w:tblW w:w="6209" w:type="dxa"/>
        <w:jc w:val="left"/>
        <w:tblInd w:w="0" w:type="dxa"/>
        <w:tblLayout w:type="fixed"/>
        <w:tblCellMar>
          <w:top w:w="28" w:type="dxa"/>
          <w:left w:w="28" w:type="dxa"/>
          <w:bottom w:w="28" w:type="dxa"/>
          <w:right w:w="28" w:type="dxa"/>
        </w:tblCellMar>
      </w:tblPr>
      <w:tblGrid>
        <w:gridCol w:w="1350"/>
        <w:gridCol w:w="1190"/>
        <w:gridCol w:w="1194"/>
        <w:gridCol w:w="394"/>
        <w:gridCol w:w="237"/>
        <w:gridCol w:w="224"/>
        <w:gridCol w:w="224"/>
        <w:gridCol w:w="224"/>
        <w:gridCol w:w="224"/>
        <w:gridCol w:w="395"/>
        <w:gridCol w:w="236"/>
        <w:gridCol w:w="317"/>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expenses</w:t>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3,534</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3,766</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 impairment loss was recorded for the six months ended June 30, 2026. An impairment loss of US$98 was recognized for obsolete and damaged equipment, which was included in research and development expenses for the six-months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1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9.    Intangible assets, net</w:t>
      </w:r>
    </w:p>
    <w:p>
      <w:pPr>
        <w:pStyle w:val="TextBody"/>
        <w:bidi w:val="0"/>
        <w:spacing w:before="0" w:after="0"/>
        <w:jc w:val="left"/>
        <w:rPr/>
      </w:pPr>
      <w:r>
        <w:rPr/>
      </w:r>
    </w:p>
    <w:p>
      <w:pPr>
        <w:pStyle w:val="TextBody"/>
        <w:bidi w:val="0"/>
        <w:spacing w:lineRule="auto" w:line="28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p>
      <w:pPr>
        <w:pStyle w:val="TextBody"/>
        <w:bidi w:val="0"/>
        <w:spacing w:before="0" w:after="0"/>
        <w:jc w:val="left"/>
        <w:rPr/>
      </w:pPr>
      <w:r>
        <w:rPr/>
      </w:r>
    </w:p>
    <w:tbl>
      <w:tblPr>
        <w:tblW w:w="5888" w:type="dxa"/>
        <w:jc w:val="left"/>
        <w:tblInd w:w="0" w:type="dxa"/>
        <w:tblLayout w:type="fixed"/>
        <w:tblCellMar>
          <w:top w:w="28" w:type="dxa"/>
          <w:left w:w="28" w:type="dxa"/>
          <w:bottom w:w="28" w:type="dxa"/>
          <w:right w:w="28" w:type="dxa"/>
        </w:tblCellMar>
      </w:tblPr>
      <w:tblGrid>
        <w:gridCol w:w="999"/>
        <w:gridCol w:w="877"/>
        <w:gridCol w:w="884"/>
        <w:gridCol w:w="504"/>
        <w:gridCol w:w="504"/>
        <w:gridCol w:w="506"/>
        <w:gridCol w:w="109"/>
        <w:gridCol w:w="109"/>
        <w:gridCol w:w="109"/>
        <w:gridCol w:w="416"/>
        <w:gridCol w:w="379"/>
        <w:gridCol w:w="492"/>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23,923 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and licensing rights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Trademark </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78,370</w:t>
            </w:r>
            <w:r>
              <w:rPr>
                <w:color w:val="000000"/>
              </w:rPr>
              <w:t>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88,144</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(34,476)</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(40,974)</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impairment </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40,381</w:t>
            </w:r>
            <w:r>
              <w:rPr>
                <w:color w:val="000000"/>
              </w:rPr>
              <w:t>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43,558</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was allocated as follows:</w:t>
      </w:r>
    </w:p>
    <w:tbl>
      <w:tblPr>
        <w:tblW w:w="6209" w:type="dxa"/>
        <w:jc w:val="left"/>
        <w:tblInd w:w="0" w:type="dxa"/>
        <w:tblLayout w:type="fixed"/>
        <w:tblCellMar>
          <w:top w:w="28" w:type="dxa"/>
          <w:left w:w="28" w:type="dxa"/>
          <w:bottom w:w="28" w:type="dxa"/>
          <w:right w:w="28" w:type="dxa"/>
        </w:tblCellMar>
      </w:tblPr>
      <w:tblGrid>
        <w:gridCol w:w="1350"/>
        <w:gridCol w:w="1190"/>
        <w:gridCol w:w="1194"/>
        <w:gridCol w:w="395"/>
        <w:gridCol w:w="236"/>
        <w:gridCol w:w="224"/>
        <w:gridCol w:w="224"/>
        <w:gridCol w:w="224"/>
        <w:gridCol w:w="224"/>
        <w:gridCol w:w="394"/>
        <w:gridCol w:w="237"/>
        <w:gridCol w:w="317"/>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amortization expenses</w:t>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7,604</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5,738</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 impairment loss was recorded for the six months ended June 30, 2025 and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240" w:after="283"/>
        <w:ind w:left="0" w:right="0" w:hanging="360"/>
        <w:jc w:val="left"/>
        <w:rPr/>
      </w:pPr>
      <w:r>
        <w:rPr>
          <w:rFonts w:ascii="Times New Roman;serif" w:hAnsi="Times New Roman;serif"/>
          <w:b/>
          <w:color w:val="000000"/>
          <w:sz w:val="20"/>
        </w:rPr>
        <w:t>10</w:t>
      </w:r>
      <w:r>
        <w:rPr>
          <w:rFonts w:ascii="Times New Roman;serif" w:hAnsi="Times New Roman;serif"/>
          <w:b w:val="false"/>
          <w:color w:val="000000"/>
          <w:sz w:val="20"/>
        </w:rPr>
        <w:t xml:space="preserve">. </w:t>
      </w:r>
      <w:r>
        <w:rPr>
          <w:rFonts w:ascii="Times New Roman;serif" w:hAnsi="Times New Roman;serif"/>
          <w:b/>
          <w:color w:val="000000"/>
          <w:sz w:val="20"/>
        </w:rPr>
        <w:t>Other non-current assets - third parties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 - third parties consisted of the following:</w:t>
      </w:r>
    </w:p>
    <w:p>
      <w:pPr>
        <w:pStyle w:val="TextBody"/>
        <w:bidi w:val="0"/>
        <w:spacing w:before="0" w:after="0"/>
        <w:jc w:val="left"/>
        <w:rPr/>
      </w:pPr>
      <w:r>
        <w:rPr/>
      </w:r>
    </w:p>
    <w:tbl>
      <w:tblPr>
        <w:tblW w:w="6503" w:type="dxa"/>
        <w:jc w:val="left"/>
        <w:tblInd w:w="0" w:type="dxa"/>
        <w:tblLayout w:type="fixed"/>
        <w:tblCellMar>
          <w:top w:w="28" w:type="dxa"/>
          <w:left w:w="28" w:type="dxa"/>
          <w:bottom w:w="28" w:type="dxa"/>
          <w:right w:w="28" w:type="dxa"/>
        </w:tblCellMar>
      </w:tblPr>
      <w:tblGrid>
        <w:gridCol w:w="1244"/>
        <w:gridCol w:w="1093"/>
        <w:gridCol w:w="1097"/>
        <w:gridCol w:w="504"/>
        <w:gridCol w:w="504"/>
        <w:gridCol w:w="506"/>
        <w:gridCol w:w="109"/>
        <w:gridCol w:w="109"/>
        <w:gridCol w:w="109"/>
        <w:gridCol w:w="385"/>
        <w:gridCol w:w="351"/>
        <w:gridCol w:w="492"/>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 – third parties</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30,189</w:t>
            </w:r>
            <w:r>
              <w:rPr>
                <w:color w:val="000000"/>
              </w:rPr>
              <w:t>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43,386</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1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11.    Borrowings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consisted of the following:</w:t>
      </w:r>
    </w:p>
    <w:p>
      <w:pPr>
        <w:pStyle w:val="TextBody"/>
        <w:bidi w:val="0"/>
        <w:spacing w:before="0" w:after="0"/>
        <w:jc w:val="left"/>
        <w:rPr/>
      </w:pPr>
      <w:r>
        <w:rPr/>
      </w:r>
    </w:p>
    <w:tbl>
      <w:tblPr>
        <w:tblW w:w="7209" w:type="dxa"/>
        <w:jc w:val="left"/>
        <w:tblInd w:w="0" w:type="dxa"/>
        <w:tblLayout w:type="fixed"/>
        <w:tblCellMar>
          <w:top w:w="28" w:type="dxa"/>
          <w:left w:w="28" w:type="dxa"/>
          <w:bottom w:w="28" w:type="dxa"/>
          <w:right w:w="28" w:type="dxa"/>
        </w:tblCellMar>
      </w:tblPr>
      <w:tblGrid>
        <w:gridCol w:w="1460"/>
        <w:gridCol w:w="1286"/>
        <w:gridCol w:w="1289"/>
        <w:gridCol w:w="504"/>
        <w:gridCol w:w="504"/>
        <w:gridCol w:w="506"/>
        <w:gridCol w:w="109"/>
        <w:gridCol w:w="109"/>
        <w:gridCol w:w="109"/>
        <w:gridCol w:w="441"/>
        <w:gridCol w:w="400"/>
        <w:gridCol w:w="492"/>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bank borrowings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310,587</w:t>
            </w: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430,174</w:t>
            </w: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bank borrowings due within one year</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14,670</w:t>
            </w: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short-term borrowings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310,659</w:t>
            </w: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444,844</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127,881 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long-term borrowings due within one year</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capitalization of debt issuance costs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borrowings</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5,587</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111,819</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The weighted average interest rates of short-term borrowings outstanding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3.70%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3.56%</w:t>
      </w:r>
      <w:r>
        <w:rPr>
          <w:color w:val="000000"/>
          <w:shd w:fill="FFFFFF" w:val="clear"/>
        </w:rPr>
        <w:t xml:space="preserve"> </w:t>
      </w:r>
      <w:r>
        <w:rPr>
          <w:rFonts w:ascii="Times New Roman;serif" w:hAnsi="Times New Roman;serif"/>
          <w:b w:val="false"/>
          <w:color w:val="000000"/>
          <w:sz w:val="20"/>
          <w:shd w:fill="FFFFFF" w:val="clear"/>
        </w:rPr>
        <w:t xml:space="preserve">per annum, respectively. The weighted average interest rates of long-term borrowings outstanding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2.81%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3.58%</w:t>
      </w:r>
      <w:r>
        <w:rPr>
          <w:color w:val="000000"/>
          <w:shd w:fill="FFFFFF" w:val="clear"/>
        </w:rPr>
        <w:t xml:space="preserve"> </w:t>
      </w:r>
      <w:r>
        <w:rPr>
          <w:rFonts w:ascii="Times New Roman;serif" w:hAnsi="Times New Roman;serif"/>
          <w:b w:val="false"/>
          <w:color w:val="000000"/>
          <w:sz w:val="20"/>
          <w:shd w:fill="FFFFFF" w:val="clear"/>
        </w:rPr>
        <w:t xml:space="preserve">per annum, respectively.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Group had a total line of credit in the amount of US$</w:t>
      </w:r>
      <w:r>
        <w:rPr>
          <w:rFonts w:ascii="Times New Roman;serif" w:hAnsi="Times New Roman;serif"/>
          <w:b w:val="false"/>
          <w:color w:val="000000"/>
          <w:sz w:val="20"/>
        </w:rPr>
        <w:t>329,498</w:t>
      </w:r>
      <w:r>
        <w:rPr>
          <w:color w:val="000000"/>
        </w:rPr>
        <w:t xml:space="preserve"> </w:t>
      </w:r>
      <w:r>
        <w:rPr>
          <w:rFonts w:ascii="Times New Roman;serif" w:hAnsi="Times New Roman;serif"/>
          <w:b w:val="false"/>
          <w:color w:val="000000"/>
          <w:sz w:val="20"/>
          <w:shd w:fill="FFFFFF" w:val="clear"/>
        </w:rPr>
        <w:t>and US$</w:t>
      </w:r>
      <w:r>
        <w:rPr>
          <w:rFonts w:ascii="Times New Roman;serif" w:hAnsi="Times New Roman;serif"/>
          <w:b w:val="false"/>
          <w:color w:val="000000"/>
          <w:sz w:val="20"/>
        </w:rPr>
        <w:t>642,315</w:t>
      </w:r>
      <w:r>
        <w:rPr>
          <w:rFonts w:ascii="Times New Roman;serif" w:hAnsi="Times New Roman;serif"/>
          <w:b w:val="false"/>
          <w:color w:val="000000"/>
          <w:sz w:val="20"/>
          <w:shd w:fill="FFFFFF" w:val="clear"/>
        </w:rPr>
        <w:t>, of which the unused portion was US$</w:t>
      </w:r>
      <w:r>
        <w:rPr>
          <w:rFonts w:ascii="Times New Roman;serif" w:hAnsi="Times New Roman;serif"/>
          <w:b w:val="false"/>
          <w:color w:val="000000"/>
          <w:sz w:val="20"/>
        </w:rPr>
        <w:t>13,252</w:t>
      </w:r>
      <w:r>
        <w:rPr>
          <w:color w:val="000000"/>
          <w:shd w:fill="FFFFFF" w:val="clear"/>
        </w:rPr>
        <w:t xml:space="preserve"> </w:t>
      </w:r>
      <w:r>
        <w:rPr>
          <w:rFonts w:ascii="Times New Roman;serif" w:hAnsi="Times New Roman;serif"/>
          <w:b w:val="false"/>
          <w:color w:val="000000"/>
          <w:sz w:val="20"/>
          <w:shd w:fill="FFFFFF" w:val="clear"/>
        </w:rPr>
        <w:t>and US$</w:t>
      </w:r>
      <w:r>
        <w:rPr>
          <w:rFonts w:ascii="Times New Roman;serif" w:hAnsi="Times New Roman;serif"/>
          <w:b w:val="false"/>
          <w:color w:val="000000"/>
          <w:sz w:val="20"/>
        </w:rPr>
        <w:t>73,734</w:t>
      </w:r>
      <w:r>
        <w:rPr>
          <w:rFonts w:ascii="Times New Roman;serif" w:hAnsi="Times New Roman;serif"/>
          <w:b w:val="false"/>
          <w:color w:val="000000"/>
          <w:sz w:val="20"/>
          <w:shd w:fill="FFFFFF" w:val="clear"/>
        </w:rPr>
        <w:t>,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Syndicated loan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In June 2026, the Group entered into a syndicated loan agreement (the “Loan Agreement”) with a banking syndicate for the purpose of financing the acquisition (“Acquisition”) of 100% of the equity interests in Hubei Qiguang Technology Co., Ltd. (“Hubei Qiguang”), an entity under common control.</w:t>
      </w:r>
      <w:r>
        <w:rPr>
          <w:rFonts w:ascii="Times New Roman;serif" w:hAnsi="Times New Roman;serif"/>
          <w:b w:val="false"/>
          <w:color w:val="000000"/>
          <w:sz w:val="20"/>
          <w:shd w:fill="FFFFFF" w:val="clear"/>
        </w:rPr>
        <w:t>The Loan Agreement provides for a syndicated acquisition loan facility in an aggregate principal amount of up to RMB</w:t>
      </w:r>
      <w:r>
        <w:rPr>
          <w:rFonts w:ascii="Times New Roman;serif" w:hAnsi="Times New Roman;serif"/>
          <w:b w:val="false"/>
          <w:color w:val="000000"/>
          <w:sz w:val="20"/>
        </w:rPr>
        <w:t>1,260,000</w:t>
      </w:r>
      <w:r>
        <w:rPr>
          <w:color w:val="000000"/>
          <w:shd w:fill="FFFFFF" w:val="clear"/>
        </w:rPr>
        <w:t xml:space="preserve"> </w:t>
      </w:r>
      <w:r>
        <w:rPr>
          <w:rFonts w:ascii="Times New Roman;serif" w:hAnsi="Times New Roman;serif"/>
          <w:b w:val="false"/>
          <w:color w:val="000000"/>
          <w:sz w:val="20"/>
          <w:shd w:fill="FFFFFF" w:val="clear"/>
        </w:rPr>
        <w:t>(approximately US$</w:t>
      </w:r>
      <w:r>
        <w:rPr>
          <w:rFonts w:ascii="Times New Roman;serif" w:hAnsi="Times New Roman;serif"/>
          <w:b w:val="false"/>
          <w:color w:val="000000"/>
          <w:sz w:val="20"/>
        </w:rPr>
        <w:t xml:space="preserve">185 </w:t>
      </w:r>
      <w:r>
        <w:rPr>
          <w:rFonts w:ascii="Times New Roman;serif" w:hAnsi="Times New Roman;serif"/>
          <w:b w:val="false"/>
          <w:color w:val="000000"/>
          <w:sz w:val="20"/>
          <w:shd w:fill="FFFFFF" w:val="clear"/>
        </w:rPr>
        <w:t xml:space="preserve">million). The loan bears interest at a floating rate equal to the 5-year Loan Prime Rate (LPR) plus 10 basis points per annum, repriced every 12 months. Interest is payable quarterly. The loan has a term of up to 10 years and is repayable in semi-annual installments commencing December 2026. The proceeds of the loan are to be used exclusively to fund the Acquisition. </w:t>
      </w:r>
      <w:r>
        <w:rPr>
          <w:rFonts w:ascii="Times New Roman;serif" w:hAnsi="Times New Roman;serif"/>
          <w:b w:val="false"/>
          <w:color w:val="000000"/>
          <w:sz w:val="20"/>
        </w:rPr>
        <w:t>As of June 30, 2026, the Group had drawn down RMB800,000 (equivalent to US$117,723</w:t>
      </w:r>
      <w:r>
        <w:rPr>
          <w:rFonts w:ascii="Times New Roman;serif" w:hAnsi="Times New Roman;serif"/>
          <w:b w:val="false"/>
          <w:color w:val="000000"/>
          <w:sz w:val="20"/>
          <w:shd w:fill="FFFFFF" w:val="clear"/>
        </w:rPr>
        <w:t>) under the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Agreement, the Group is required to pay an aggregate arrangement fee of RMB15,000 (approximately US$2,210) to the banking syndicate in nine installments. The arrangement fee is non-refundable upon voluntary prepayment of the loan. The unamortized debt issuance costs are presented as a direct deduction from the carrying amount of the syndicated loan and amortized as interest expense over the term of the loan using the effective interest method. As of June 30, 2026, RMB9,450 (equivalent to US$1,392) of the arrangement fee had been capitalized as debt issuance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obligations under the loan are secured by a pledge over 100% of the equity interests in Hubei Qiguang. Hubei Qiguang also provided an irrevocable joint and several guarantee in respect of the obligations of the Group under the Loan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as of December 31, 2025 and June 30, 2026 were secured by the following: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0"/>
        <w:jc w:val="left"/>
        <w:rPr/>
      </w:pPr>
      <w:r>
        <w:rPr/>
      </w:r>
    </w:p>
    <w:tbl>
      <w:tblPr>
        <w:tblW w:w="6089" w:type="dxa"/>
        <w:jc w:val="left"/>
        <w:tblInd w:w="0" w:type="dxa"/>
        <w:tblLayout w:type="fixed"/>
        <w:tblCellMar>
          <w:top w:w="28" w:type="dxa"/>
          <w:left w:w="28" w:type="dxa"/>
          <w:bottom w:w="28" w:type="dxa"/>
          <w:right w:w="28" w:type="dxa"/>
        </w:tblCellMar>
      </w:tblPr>
      <w:tblGrid>
        <w:gridCol w:w="1504"/>
        <w:gridCol w:w="1323"/>
        <w:gridCol w:w="1328"/>
        <w:gridCol w:w="566"/>
        <w:gridCol w:w="566"/>
        <w:gridCol w:w="802"/>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by</w:t>
            </w:r>
          </w:p>
        </w:tc>
      </w:tr>
      <w:tr>
        <w:trPr/>
        <w:tc>
          <w:tcPr>
            <w:tcW w:w="2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310,587 </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borrowing.</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(including current portion)</w:t>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by</w:t>
            </w:r>
          </w:p>
        </w:tc>
      </w:tr>
      <w:tr>
        <w:trPr/>
        <w:tc>
          <w:tcPr>
            <w:tcW w:w="2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3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borrowing.</w:t>
            </w:r>
          </w:p>
        </w:tc>
      </w:tr>
      <w:tr>
        <w:trPr/>
        <w:tc>
          <w:tcPr>
            <w:tcW w:w="2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316,246</w:t>
            </w:r>
            <w:r>
              <w:rPr>
                <w:color w:val="000000"/>
              </w:rPr>
              <w:t> </w:t>
            </w:r>
          </w:p>
        </w:tc>
        <w:tc>
          <w:tcPr>
            <w:tcW w:w="1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5"/>
        <w:gridCol w:w="735"/>
        <w:gridCol w:w="737"/>
        <w:gridCol w:w="2305"/>
        <w:gridCol w:w="2279"/>
        <w:gridCol w:w="3224"/>
      </w:tblGrid>
      <w:tr>
        <w:trPr/>
        <w:tc>
          <w:tcPr>
            <w:tcW w:w="9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78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by</w:t>
            </w:r>
          </w:p>
        </w:tc>
      </w:tr>
      <w:tr>
        <w:trPr/>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430,174 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borrowing.</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(including current portion)</w:t>
            </w:r>
          </w:p>
        </w:tc>
        <w:tc>
          <w:tcPr>
            <w:tcW w:w="7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by</w:t>
            </w:r>
          </w:p>
        </w:tc>
      </w:tr>
      <w:tr>
        <w:trPr/>
        <w:tc>
          <w:tcPr>
            <w:tcW w:w="1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7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borrowing.</w:t>
            </w:r>
          </w:p>
        </w:tc>
      </w:tr>
      <w:tr>
        <w:trPr/>
        <w:tc>
          <w:tcPr>
            <w:tcW w:w="16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119,115 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by a pledge over 100% of the equity interests in Hubei Qiguang. Hubei Qiguang also provided an irrevocable joint and several guarantee in respect of the obligations of the Group under the Loan Agreement.</w:t>
            </w:r>
          </w:p>
        </w:tc>
      </w:tr>
      <w:tr>
        <w:trPr/>
        <w:tc>
          <w:tcPr>
            <w:tcW w:w="16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558,055</w:t>
            </w:r>
            <w:r>
              <w:rPr>
                <w:color w:val="000000"/>
              </w:rPr>
              <w:t> </w:t>
            </w:r>
          </w:p>
        </w:tc>
        <w:tc>
          <w:tcPr>
            <w:tcW w:w="7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the aggregate maturities of long-term borrowings (including current portion) outstanding were as follows:</w:t>
      </w:r>
    </w:p>
    <w:p>
      <w:pPr>
        <w:pStyle w:val="TextBody"/>
        <w:bidi w:val="0"/>
        <w:spacing w:before="0" w:after="0"/>
        <w:jc w:val="left"/>
        <w:rPr/>
      </w:pPr>
      <w:r>
        <w:rPr/>
      </w:r>
    </w:p>
    <w:tbl>
      <w:tblPr>
        <w:tblW w:w="5947" w:type="dxa"/>
        <w:jc w:val="left"/>
        <w:tblInd w:w="0" w:type="dxa"/>
        <w:tblLayout w:type="fixed"/>
        <w:tblCellMar>
          <w:top w:w="28" w:type="dxa"/>
          <w:left w:w="28" w:type="dxa"/>
          <w:bottom w:w="28" w:type="dxa"/>
          <w:right w:w="28" w:type="dxa"/>
        </w:tblCellMar>
      </w:tblPr>
      <w:tblGrid>
        <w:gridCol w:w="1737"/>
        <w:gridCol w:w="1527"/>
        <w:gridCol w:w="1536"/>
        <w:gridCol w:w="419"/>
        <w:gridCol w:w="422"/>
        <w:gridCol w:w="306"/>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June 30, 2027</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June 30, 2028</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June 30, 2029</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June 30, 2030</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June 30, 2031</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borrowings (including current portion)</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127,881</w:t>
            </w: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borrowings in the consolidated balance sheets includes a reduction for unamortized debt issuance costs, which are excluded from the maturities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1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w:t>
      </w:r>
    </w:p>
    <w:p>
      <w:pPr>
        <w:pStyle w:val="TextBody"/>
        <w:bidi w:val="0"/>
        <w:spacing w:before="0" w:after="0"/>
        <w:jc w:val="left"/>
        <w:rPr/>
      </w:pPr>
      <w:r>
        <w:rPr/>
      </w:r>
    </w:p>
    <w:tbl>
      <w:tblPr>
        <w:tblW w:w="4349" w:type="dxa"/>
        <w:jc w:val="left"/>
        <w:tblInd w:w="0" w:type="dxa"/>
        <w:tblLayout w:type="fixed"/>
        <w:tblCellMar>
          <w:top w:w="28" w:type="dxa"/>
          <w:left w:w="28" w:type="dxa"/>
          <w:bottom w:w="28" w:type="dxa"/>
          <w:right w:w="28" w:type="dxa"/>
        </w:tblCellMar>
      </w:tblPr>
      <w:tblGrid>
        <w:gridCol w:w="678"/>
        <w:gridCol w:w="596"/>
        <w:gridCol w:w="600"/>
        <w:gridCol w:w="395"/>
        <w:gridCol w:w="236"/>
        <w:gridCol w:w="224"/>
        <w:gridCol w:w="224"/>
        <w:gridCol w:w="224"/>
        <w:gridCol w:w="224"/>
        <w:gridCol w:w="395"/>
        <w:gridCol w:w="236"/>
        <w:gridCol w:w="317"/>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3,136</w:t>
            </w: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3,014</w:t>
            </w: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lease cost was allocated as follows:</w:t>
      </w:r>
    </w:p>
    <w:p>
      <w:pPr>
        <w:pStyle w:val="TextBody"/>
        <w:bidi w:val="0"/>
        <w:spacing w:before="0" w:after="0"/>
        <w:jc w:val="both"/>
        <w:rPr/>
      </w:pPr>
      <w:r>
        <w:rPr/>
      </w:r>
    </w:p>
    <w:tbl>
      <w:tblPr>
        <w:tblW w:w="6209" w:type="dxa"/>
        <w:jc w:val="left"/>
        <w:tblInd w:w="0" w:type="dxa"/>
        <w:tblLayout w:type="fixed"/>
        <w:tblCellMar>
          <w:top w:w="28" w:type="dxa"/>
          <w:left w:w="28" w:type="dxa"/>
          <w:bottom w:w="28" w:type="dxa"/>
          <w:right w:w="28" w:type="dxa"/>
        </w:tblCellMar>
      </w:tblPr>
      <w:tblGrid>
        <w:gridCol w:w="1354"/>
        <w:gridCol w:w="1187"/>
        <w:gridCol w:w="1193"/>
        <w:gridCol w:w="395"/>
        <w:gridCol w:w="236"/>
        <w:gridCol w:w="224"/>
        <w:gridCol w:w="224"/>
        <w:gridCol w:w="224"/>
        <w:gridCol w:w="224"/>
        <w:gridCol w:w="395"/>
        <w:gridCol w:w="236"/>
        <w:gridCol w:w="317"/>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3,136</w:t>
            </w: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3,014</w:t>
            </w: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25" w:type="dxa"/>
        <w:jc w:val="left"/>
        <w:tblInd w:w="0" w:type="dxa"/>
        <w:tblLayout w:type="fixed"/>
        <w:tblCellMar>
          <w:top w:w="28" w:type="dxa"/>
          <w:left w:w="28" w:type="dxa"/>
          <w:bottom w:w="28" w:type="dxa"/>
          <w:right w:w="28" w:type="dxa"/>
        </w:tblCellMar>
      </w:tblPr>
      <w:tblGrid>
        <w:gridCol w:w="1520"/>
        <w:gridCol w:w="1336"/>
        <w:gridCol w:w="1344"/>
        <w:gridCol w:w="504"/>
        <w:gridCol w:w="504"/>
        <w:gridCol w:w="506"/>
        <w:gridCol w:w="109"/>
        <w:gridCol w:w="109"/>
        <w:gridCol w:w="109"/>
        <w:gridCol w:w="346"/>
        <w:gridCol w:w="346"/>
        <w:gridCol w:w="492"/>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(years):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was as follows:</w:t>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174"/>
        <w:gridCol w:w="1908"/>
        <w:gridCol w:w="1917"/>
        <w:gridCol w:w="386"/>
        <w:gridCol w:w="230"/>
        <w:gridCol w:w="224"/>
        <w:gridCol w:w="224"/>
        <w:gridCol w:w="224"/>
        <w:gridCol w:w="224"/>
        <w:gridCol w:w="386"/>
        <w:gridCol w:w="230"/>
        <w:gridCol w:w="317"/>
      </w:tblGrid>
      <w:tr>
        <w:trPr/>
        <w:tc>
          <w:tcPr>
            <w:tcW w:w="217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13.    Accrued expenses and other liabilities</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p>
      <w:pPr>
        <w:pStyle w:val="TextBody"/>
        <w:bidi w:val="0"/>
        <w:spacing w:before="0" w:after="0"/>
        <w:jc w:val="left"/>
        <w:rPr/>
      </w:pPr>
      <w:r>
        <w:rPr/>
      </w:r>
    </w:p>
    <w:tbl>
      <w:tblPr>
        <w:tblW w:w="7044" w:type="dxa"/>
        <w:jc w:val="left"/>
        <w:tblInd w:w="0" w:type="dxa"/>
        <w:tblLayout w:type="fixed"/>
        <w:tblCellMar>
          <w:top w:w="28" w:type="dxa"/>
          <w:left w:w="28" w:type="dxa"/>
          <w:bottom w:w="28" w:type="dxa"/>
          <w:right w:w="28" w:type="dxa"/>
        </w:tblCellMar>
      </w:tblPr>
      <w:tblGrid>
        <w:gridCol w:w="1438"/>
        <w:gridCol w:w="1266"/>
        <w:gridCol w:w="1271"/>
        <w:gridCol w:w="504"/>
        <w:gridCol w:w="504"/>
        <w:gridCol w:w="506"/>
        <w:gridCol w:w="109"/>
        <w:gridCol w:w="109"/>
        <w:gridCol w:w="109"/>
        <w:gridCol w:w="385"/>
        <w:gridCol w:w="351"/>
        <w:gridCol w:w="492"/>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 payables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costs of the Merger</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payables and accrued charges</w:t>
            </w:r>
            <w:r>
              <w:rPr>
                <w:rFonts w:ascii="Times New Roman;serif" w:hAnsi="Times New Roman;serif"/>
                <w:b w:val="false"/>
                <w:color w:val="000000"/>
                <w:sz w:val="13"/>
              </w:rPr>
              <w: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88,875</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79,217</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*Other payables and accrued charges primarily include payables for research and development expenses, purchases of property, equipment and software and service fees.</w:t>
      </w:r>
    </w:p>
    <w:p>
      <w:pPr>
        <w:pStyle w:val="TextBody"/>
        <w:bidi w:val="0"/>
        <w:spacing w:before="60" w:after="283"/>
        <w:jc w:val="left"/>
        <w:rPr/>
      </w:pPr>
      <w:r>
        <w:rPr/>
      </w:r>
    </w:p>
    <w:p>
      <w:pPr>
        <w:pStyle w:val="TextBody"/>
        <w:bidi w:val="0"/>
        <w:spacing w:lineRule="auto" w:line="268" w:before="0" w:after="0"/>
        <w:jc w:val="left"/>
        <w:rPr/>
      </w:pPr>
      <w:r>
        <w:rPr>
          <w:rFonts w:ascii="Times New Roman;serif" w:hAnsi="Times New Roman;serif"/>
          <w:b w:val="false"/>
          <w:i/>
          <w:color w:val="000000"/>
          <w:sz w:val="20"/>
        </w:rPr>
        <w:t>Product warranties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changes in the product warranties: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9"/>
        <w:gridCol w:w="2275"/>
        <w:gridCol w:w="2283"/>
        <w:gridCol w:w="503"/>
        <w:gridCol w:w="500"/>
        <w:gridCol w:w="502"/>
        <w:gridCol w:w="109"/>
        <w:gridCol w:w="109"/>
        <w:gridCol w:w="109"/>
        <w:gridCol w:w="386"/>
        <w:gridCol w:w="350"/>
        <w:gridCol w:w="490"/>
      </w:tblGrid>
      <w:tr>
        <w:trPr/>
        <w:tc>
          <w:tcPr>
            <w:tcW w:w="258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the beginning of the year/period</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21,861</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26,037</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the end of the year/period</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26,037</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27,275</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Including:</w:t>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warranty included in “Accrued expenses and other current liabilities”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warranty included in “Provisions”</w:t>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14.    Convertible notes payable </w:t>
      </w:r>
    </w:p>
    <w:p>
      <w:pPr>
        <w:pStyle w:val="TextBody"/>
        <w:bidi w:val="0"/>
        <w:spacing w:before="0" w:after="0"/>
        <w:jc w:val="left"/>
        <w:rPr/>
      </w:pPr>
      <w:r>
        <w:rPr/>
      </w:r>
    </w:p>
    <w:tbl>
      <w:tblPr>
        <w:tblW w:w="8857" w:type="dxa"/>
        <w:jc w:val="left"/>
        <w:tblInd w:w="0" w:type="dxa"/>
        <w:tblLayout w:type="fixed"/>
        <w:tblCellMar>
          <w:top w:w="28" w:type="dxa"/>
          <w:left w:w="28" w:type="dxa"/>
          <w:bottom w:w="28" w:type="dxa"/>
          <w:right w:w="28" w:type="dxa"/>
        </w:tblCellMar>
      </w:tblPr>
      <w:tblGrid>
        <w:gridCol w:w="1052"/>
        <w:gridCol w:w="927"/>
        <w:gridCol w:w="930"/>
        <w:gridCol w:w="704"/>
        <w:gridCol w:w="704"/>
        <w:gridCol w:w="706"/>
        <w:gridCol w:w="109"/>
        <w:gridCol w:w="109"/>
        <w:gridCol w:w="109"/>
        <w:gridCol w:w="704"/>
        <w:gridCol w:w="704"/>
        <w:gridCol w:w="706"/>
        <w:gridCol w:w="109"/>
        <w:gridCol w:w="109"/>
        <w:gridCol w:w="109"/>
        <w:gridCol w:w="419"/>
        <w:gridCol w:w="422"/>
        <w:gridCol w:w="225"/>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38,819 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60,283 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convertible notes</w:t>
            </w:r>
          </w:p>
        </w:tc>
        <w:tc>
          <w:tcPr>
            <w:tcW w:w="14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39,475 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interest expense</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Installment settlement</w:t>
            </w:r>
          </w:p>
        </w:tc>
        <w:tc>
          <w:tcPr>
            <w:tcW w:w="1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to ordinary shares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(14,255)</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4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24,731</w:t>
            </w:r>
            <w:r>
              <w:rPr>
                <w:color w:val="000000"/>
              </w:rPr>
              <w:t> </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101,622</w:t>
            </w:r>
            <w:r>
              <w:rPr>
                <w:color w:val="000000"/>
              </w:rPr>
              <w:t> </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126,353</w:t>
            </w: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1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101,622 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i/>
          <w:color w:val="000000"/>
          <w:sz w:val="20"/>
        </w:rPr>
        <w:t>Convertible Notes due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30, 2025, the Company entered into a Securities Purchase Agreement with an investor, ATW Mobility SPV LLC, to issue a new series of senior convertible notes in the aggregate amount of US$150,000. Initially, the investor purchased notes with aggregate principal amount of US$50,000 (the “Initial Note”) repayable in installments on several instalment dates (“Installment Date”) with total installments payable amounting to 107% of the principal amount. The Initial Note will mature on October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Note was issued at an initial conversion price of US$2.59 per share subject to customary anti-dilution adjustments. Unless the Initial Note is converted into the Company’s ordinary shares, is redeemable at 107% of the principal amount including an early redemption option with the issuer. The Initial Note can also be redeemed early at the option of the holder in an event of default at the redemption premium of 25% or change of control at the redemption premium of 20%. In the event of bankruptcy of the issuer, the Initial Note becomes mandatorily redeemable at the redemption premium of 25% (collectively, “Mandatory or Early redemption features”). The Initial Note does not bear any coupon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Note is convertible anytime at the option of the holder and, at any instalment date, at the option of the issuer. The Initial Note is also mandatorily convertible if the daily volume weighted average price (VWAP)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F-19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of the Company exceeds US$3.88 per share for 15 consecutive trading days and the aggregate daily dollar volume during such period is more than US$3,000.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Mandatory or early redemption features were bifurcated as a separate single compound derivative liability and measured at fair value as it is not clearly and closely related to the debt host contract. After the bifurcation, the Initial Note was accounted for using amortized cost method.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Initial Note payable was estimated by management with the assistance of an independent valuation firm, using the binomial model with the key assumptions including risk-free rate of returns, volatility and bond yields. As of June 30, 2026, the fair value of the Convertible Notes due 2026 was measured at US$23,253 and was classified within Level 3.</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derivative liability was measured at US$67 as at June 30, 2026, and were included in accrued expenses and other current liabilities in the consolidated balance sheet. The gain on changes in fair value of derivative liability of US$804 was recognized in the changes in the fair value of derivative financial liabilities included in other non-operating income (expenses), net for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derivative liability is measured using income approach with the key assumptions including bond yields and the probability of triggering events. The fair value of derivative liability is estimated with the following key assumptions:</w:t>
      </w:r>
    </w:p>
    <w:tbl>
      <w:tblPr>
        <w:tblW w:w="4544" w:type="dxa"/>
        <w:jc w:val="left"/>
        <w:tblInd w:w="0" w:type="dxa"/>
        <w:tblLayout w:type="fixed"/>
        <w:tblCellMar>
          <w:top w:w="28" w:type="dxa"/>
          <w:left w:w="28" w:type="dxa"/>
          <w:bottom w:w="28" w:type="dxa"/>
          <w:right w:w="28" w:type="dxa"/>
        </w:tblCellMar>
      </w:tblPr>
      <w:tblGrid>
        <w:gridCol w:w="1069"/>
        <w:gridCol w:w="941"/>
        <w:gridCol w:w="945"/>
        <w:gridCol w:w="324"/>
        <w:gridCol w:w="324"/>
        <w:gridCol w:w="941"/>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Bond yields (i)</w:t>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22.56%</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triggering events (ii)</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i.The bond yields were estimated based on the market yield of comparable bonds with similar credit rating.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ii.Probability of triggering events was estimated based on the average cumulative issuer-weighted global default rates by similar industry group.</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i/>
          <w:color w:val="000000"/>
          <w:sz w:val="20"/>
        </w:rPr>
        <w:t>Convertible Notes due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convertible note purchase agreements entered into with certain institutional investors in November 2025, the Company issued convertible notes (“Convertible Senior Notes”) with an aggregate principal amount of US$60 million and a maturity date of November 14, 2028. On February 9, 2026, the Company issued an additional US$40 million in aggregate principal amount of Convertible Senior Notes, which were purchased by a consortium of investors. All outstanding Convertible Senior Notes have an initial conversion price of US$2.62 per share (subject to customary anti-dilution adjustments set forth in the respective agreements) and will be due in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are classified as a long-term debt initially on balance sheet and measured at amortized cost subsequently.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6, 2026, one of the existing institutional investors transferred its rights and interests in respect of the principal amount of US$15,000 of the Convertible Senior Notes to a new third party investor. There were no changes to the principle amount, maturity, interest rate and other terms of the Convertible Senior Notes. Following the transfer, a new third party investor became the holder of the transferred Convertible Senior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fair value of the Convertible Senior Notes was valued at US$87,839 and was classified within Level 3. The fair value was estimated by management with the assistance of an independent valuation firm, using the binomial model with the key assumptions including risk-free rate of return, volatility, and bond yield.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Warrant liabilities </w:t>
      </w:r>
    </w:p>
    <w:p>
      <w:pPr>
        <w:pStyle w:val="TextBody"/>
        <w:bidi w:val="0"/>
        <w:spacing w:before="60" w:after="283"/>
        <w:ind w:left="0" w:right="0" w:hanging="36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ECARX Warrants in connection with the Merger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ECARX Public Warrants are publicly traded on Nasdaq, the liability is measured at fair value using observable inputs and categorized in Level 1 of the fair value hierarchy, while ECARX Private Warrant liability is measured at fair value using unobservable inputs and categorized in Level 3 of the fair value hierarchy. </w:t>
      </w:r>
      <w:r>
        <w:rPr>
          <w:rFonts w:ascii="Times New Roman;serif" w:hAnsi="Times New Roman;serif"/>
          <w:b w:val="false"/>
          <w:color w:val="000000"/>
          <w:sz w:val="20"/>
        </w:rPr>
        <w:t xml:space="preserve">The Binomial Option Pricing Model with the following key assumptions is used for estimating the fair value of ECARX Private Warrants.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tbl>
      <w:tblPr>
        <w:tblW w:w="4976" w:type="dxa"/>
        <w:jc w:val="left"/>
        <w:tblInd w:w="0" w:type="dxa"/>
        <w:tblLayout w:type="fixed"/>
        <w:tblCellMar>
          <w:top w:w="28" w:type="dxa"/>
          <w:left w:w="28" w:type="dxa"/>
          <w:bottom w:w="28" w:type="dxa"/>
          <w:right w:w="28" w:type="dxa"/>
        </w:tblCellMar>
      </w:tblPr>
      <w:tblGrid>
        <w:gridCol w:w="1325"/>
        <w:gridCol w:w="1163"/>
        <w:gridCol w:w="1171"/>
        <w:gridCol w:w="307"/>
        <w:gridCol w:w="309"/>
        <w:gridCol w:w="701"/>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of return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the underlying ordinary shares</w:t>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US$1.29</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risk-free rate of return was based on the yield of US Treasury Notes for the expected remaining life of the warrant liabilities. The Company estimates the volatility of its common stock using a binomial lattice model based on the price of public warrant as of the valuation date. Expected dividend yield is zero as the Company does not anticipate any dividend payments in the foreseeable future. Expected term to exercise the warrant liabilities is up to December 2027. The fair value of the Company’s ordinary shares was obtained from the listed trading price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movement of ECARX Warrants for the six months ended June 30, 2026:</w:t>
      </w:r>
    </w:p>
    <w:p>
      <w:pPr>
        <w:pStyle w:val="TextBody"/>
        <w:bidi w:val="0"/>
        <w:spacing w:before="0" w:after="0"/>
        <w:jc w:val="left"/>
        <w:rPr/>
      </w:pPr>
      <w:r>
        <w:rPr/>
      </w:r>
    </w:p>
    <w:tbl>
      <w:tblPr>
        <w:tblW w:w="7045" w:type="dxa"/>
        <w:jc w:val="left"/>
        <w:tblInd w:w="0" w:type="dxa"/>
        <w:tblLayout w:type="fixed"/>
        <w:tblCellMar>
          <w:top w:w="28" w:type="dxa"/>
          <w:left w:w="28" w:type="dxa"/>
          <w:bottom w:w="28" w:type="dxa"/>
          <w:right w:w="28" w:type="dxa"/>
        </w:tblCellMar>
      </w:tblPr>
      <w:tblGrid>
        <w:gridCol w:w="981"/>
        <w:gridCol w:w="865"/>
        <w:gridCol w:w="869"/>
        <w:gridCol w:w="644"/>
        <w:gridCol w:w="644"/>
        <w:gridCol w:w="646"/>
        <w:gridCol w:w="109"/>
        <w:gridCol w:w="109"/>
        <w:gridCol w:w="109"/>
        <w:gridCol w:w="604"/>
        <w:gridCol w:w="604"/>
        <w:gridCol w:w="861"/>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ECARX Public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ECARX Private Warrants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2026</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449</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due to change in fair value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2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283"/>
        <w:ind w:left="0" w:right="0" w:hanging="360"/>
        <w:jc w:val="left"/>
        <w:rPr>
          <w:rFonts w:ascii="Times New Roman;serif" w:hAnsi="Times New Roman;serif"/>
          <w:b/>
          <w:color w:val="000000"/>
          <w:sz w:val="20"/>
        </w:rPr>
      </w:pPr>
      <w:r>
        <w:rPr>
          <w:rFonts w:ascii="Times New Roman;serif" w:hAnsi="Times New Roman;serif"/>
          <w:b/>
          <w:color w:val="000000"/>
          <w:sz w:val="20"/>
        </w:rPr>
        <w:t>16.    Ordinary shares and treasury shares</w:t>
      </w:r>
    </w:p>
    <w:p>
      <w:pPr>
        <w:pStyle w:val="TextBody"/>
        <w:bidi w:val="0"/>
        <w:spacing w:before="60" w:after="283"/>
        <w:ind w:left="0" w:right="0" w:hanging="360"/>
        <w:jc w:val="left"/>
        <w:rPr/>
      </w:pPr>
      <w:r>
        <w:rPr/>
      </w:r>
    </w:p>
    <w:p>
      <w:pPr>
        <w:pStyle w:val="TextBody"/>
        <w:bidi w:val="0"/>
        <w:spacing w:lineRule="auto" w:line="268" w:before="60" w:after="283"/>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before="60" w:after="283"/>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2026, the Company issued 279,455 Class A Ordinary Shares for the 2022 Share Incentive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 entered into a subscription agreement with Geely Investment Holding Ltd. Pursuant to the terms of the agreement, Geely Investment Holding Ltd. subscribed for and purchased from the Company, through a private placement, a total of 27,297,002 newly issued Class A Ordinary Shares at a price of US$1.67 per ordinary share, for a total purchase price of US$45,586.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13,818,840 Class A ordinary shares upon conversion of aggregate US$14,255 principal amount of its convertible notes.</w:t>
      </w:r>
    </w:p>
    <w:p>
      <w:pPr>
        <w:pStyle w:val="TextBody"/>
        <w:bidi w:val="0"/>
        <w:spacing w:before="0" w:after="0"/>
        <w:jc w:val="left"/>
        <w:rPr/>
      </w:pPr>
      <w:r>
        <w:rPr/>
      </w:r>
    </w:p>
    <w:p>
      <w:pPr>
        <w:pStyle w:val="TextBody"/>
        <w:bidi w:val="0"/>
        <w:spacing w:lineRule="auto" w:line="268" w:before="60" w:after="283"/>
        <w:jc w:val="left"/>
        <w:rPr>
          <w:rFonts w:ascii="Times New Roman;serif" w:hAnsi="Times New Roman;serif"/>
          <w:b/>
          <w:i/>
          <w:color w:val="000000"/>
          <w:sz w:val="20"/>
        </w:rPr>
      </w:pPr>
      <w:r>
        <w:rPr>
          <w:rFonts w:ascii="Times New Roman;serif" w:hAnsi="Times New Roman;serif"/>
          <w:b/>
          <w:i/>
          <w:color w:val="000000"/>
          <w:sz w:val="20"/>
        </w:rPr>
        <w:t>Treasury shares</w:t>
      </w:r>
    </w:p>
    <w:p>
      <w:pPr>
        <w:pStyle w:val="TextBody"/>
        <w:bidi w:val="0"/>
        <w:spacing w:before="6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kicked-off a share repurchase program under which the Company may repurchase up to US$20,000 of its ordinary shares until the close of business on September 30, 2025. The limit was subsequently increased to an aggregate amount of US$40,000 up to the end of March 31, 2026. Under the repurchase program, the Company’s proposed repurchases may be made from time to time in the open market at prevailing market prices, in privately negotiated transactions, in block trades and/or through other legally permissible means, depending on market conditions and in accordance with applicable rules and regulations. During the six months ended June 30, 2026, the Company repurchased 4,871,121 shares in the open market for a total consideration, including related expenses, of US$9,907 which are reported as treasury shares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17.    Share based compensation</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 Restricted Share Unit (“RSU”)</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of the Company's RSUs for the six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tbl>
      <w:tblPr>
        <w:tblW w:w="9514" w:type="dxa"/>
        <w:jc w:val="left"/>
        <w:tblInd w:w="0" w:type="dxa"/>
        <w:tblLayout w:type="fixed"/>
        <w:tblCellMar>
          <w:top w:w="28" w:type="dxa"/>
          <w:left w:w="28" w:type="dxa"/>
          <w:bottom w:w="28" w:type="dxa"/>
          <w:right w:w="28" w:type="dxa"/>
        </w:tblCellMar>
      </w:tblPr>
      <w:tblGrid>
        <w:gridCol w:w="1011"/>
        <w:gridCol w:w="888"/>
        <w:gridCol w:w="890"/>
        <w:gridCol w:w="495"/>
        <w:gridCol w:w="496"/>
        <w:gridCol w:w="296"/>
        <w:gridCol w:w="109"/>
        <w:gridCol w:w="109"/>
        <w:gridCol w:w="109"/>
        <w:gridCol w:w="374"/>
        <w:gridCol w:w="374"/>
        <w:gridCol w:w="376"/>
        <w:gridCol w:w="109"/>
        <w:gridCol w:w="109"/>
        <w:gridCol w:w="109"/>
        <w:gridCol w:w="349"/>
        <w:gridCol w:w="349"/>
        <w:gridCol w:w="351"/>
        <w:gridCol w:w="109"/>
        <w:gridCol w:w="109"/>
        <w:gridCol w:w="109"/>
        <w:gridCol w:w="315"/>
        <w:gridCol w:w="315"/>
        <w:gridCol w:w="316"/>
        <w:gridCol w:w="109"/>
        <w:gridCol w:w="109"/>
        <w:gridCol w:w="109"/>
        <w:gridCol w:w="315"/>
        <w:gridCol w:w="316"/>
        <w:gridCol w:w="380"/>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Fair value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remaining</w:t>
              <w:br/>
              <w:t>contractual</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January 1, 2026</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2,909,230</w:t>
            </w: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0.38</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2,879,798</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0.38</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3,755</w:t>
            </w: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as of June 30, 2026</w:t>
            </w:r>
          </w:p>
        </w:tc>
        <w:tc>
          <w:tcPr>
            <w:tcW w:w="99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2,788,803</w:t>
            </w:r>
            <w:r>
              <w:rPr>
                <w:color w:val="000000"/>
              </w:rPr>
              <w:t>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0.43</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3,580</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RSUs were exercised during the six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 Performance Share Unit (“PSUs”)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2026, the Group's board of directors approved the grant of total 600,000 PSUs to a certain executive officer under the 2022 Share Incentive Plan with nil exercise price. The PSUs have a three-year service period and vest in three equal annual installments on the first, second and third anniversaries of the vesting commencement date, in each case subject to the satisfaction of certain market conditions and the participant’s continued service.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 Options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2026, the Company granted 770,000 share options to certain employees under 2022 Share Incentive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of the options for the six months ended June 30, 2026:</w:t>
      </w:r>
    </w:p>
    <w:p>
      <w:pPr>
        <w:pStyle w:val="TextBody"/>
        <w:bidi w:val="0"/>
        <w:spacing w:before="0" w:after="0"/>
        <w:jc w:val="left"/>
        <w:rPr/>
      </w:pPr>
      <w:r>
        <w:rPr/>
      </w:r>
    </w:p>
    <w:tbl>
      <w:tblPr>
        <w:tblW w:w="9724" w:type="dxa"/>
        <w:jc w:val="left"/>
        <w:tblInd w:w="0" w:type="dxa"/>
        <w:tblLayout w:type="fixed"/>
        <w:tblCellMar>
          <w:top w:w="28" w:type="dxa"/>
          <w:left w:w="28" w:type="dxa"/>
          <w:bottom w:w="28" w:type="dxa"/>
          <w:right w:w="28" w:type="dxa"/>
        </w:tblCellMar>
      </w:tblPr>
      <w:tblGrid>
        <w:gridCol w:w="1011"/>
        <w:gridCol w:w="888"/>
        <w:gridCol w:w="890"/>
        <w:gridCol w:w="548"/>
        <w:gridCol w:w="548"/>
        <w:gridCol w:w="296"/>
        <w:gridCol w:w="109"/>
        <w:gridCol w:w="109"/>
        <w:gridCol w:w="109"/>
        <w:gridCol w:w="374"/>
        <w:gridCol w:w="374"/>
        <w:gridCol w:w="376"/>
        <w:gridCol w:w="109"/>
        <w:gridCol w:w="109"/>
        <w:gridCol w:w="109"/>
        <w:gridCol w:w="349"/>
        <w:gridCol w:w="349"/>
        <w:gridCol w:w="351"/>
        <w:gridCol w:w="109"/>
        <w:gridCol w:w="109"/>
        <w:gridCol w:w="109"/>
        <w:gridCol w:w="315"/>
        <w:gridCol w:w="315"/>
        <w:gridCol w:w="316"/>
        <w:gridCol w:w="109"/>
        <w:gridCol w:w="109"/>
        <w:gridCol w:w="109"/>
        <w:gridCol w:w="368"/>
        <w:gridCol w:w="368"/>
        <w:gridCol w:w="380"/>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Fair value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remaining</w:t>
              <w:br/>
              <w:t>contractual</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January 1, 2026</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22,631,543</w:t>
            </w: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(1,733,031)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21,298,088</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50,068</w:t>
            </w: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as of June 30, 2026</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16,828,518</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w:t>
            </w: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40,123</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Total intrinsic value of options exercised was US$</w:t>
      </w:r>
      <w:r>
        <w:rPr>
          <w:rFonts w:ascii="Times New Roman;serif" w:hAnsi="Times New Roman;serif"/>
          <w:b w:val="false"/>
          <w:color w:val="000000"/>
          <w:sz w:val="20"/>
          <w:shd w:fill="FFFFFF" w:val="clear"/>
        </w:rPr>
        <w:t>592</w:t>
      </w:r>
      <w:r>
        <w:rPr>
          <w:color w:val="000000"/>
        </w:rPr>
        <w:t xml:space="preserve"> </w:t>
      </w:r>
      <w:r>
        <w:rPr>
          <w:rFonts w:ascii="Times New Roman;serif" w:hAnsi="Times New Roman;serif"/>
          <w:b w:val="false"/>
          <w:color w:val="000000"/>
          <w:sz w:val="20"/>
        </w:rPr>
        <w:t>for the six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options granted for the six months ended June 30, 2026 are estimated using the binomial model with the following assumptions used:</w:t>
      </w:r>
    </w:p>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1287"/>
        <w:gridCol w:w="1129"/>
        <w:gridCol w:w="1139"/>
        <w:gridCol w:w="514"/>
        <w:gridCol w:w="514"/>
        <w:gridCol w:w="1492"/>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of return (1)</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(2)</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(3)</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underlying ordinary share (4)</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US$1.03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terms (5)</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 years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The risk-free interest rate was estimated based on the yield to maturity of U.S. Treasury bonds for a term consistent with the expected term of the Company’s options in effect at the valuation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Expected volatility was estimated based on the historical volatility of comparable peer public companies with a time horizon close to the expected term of the Company’s options.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(3) Expected dividend yield is zero as the Company does not anticipate any dividend payments in the foreseeable future.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(4) The fair value of the underlying ordinary share is the closing price of the Company’s ordinary shares traded in the open market as of the grant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(5) Expected term is the contract life of the option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expenses recognized for RSUs, PSUs and options for the six months ended June 30, 2025 and 2026 were allocated as follows.</w:t>
      </w:r>
    </w:p>
    <w:p>
      <w:pPr>
        <w:pStyle w:val="TextBody"/>
        <w:bidi w:val="0"/>
        <w:spacing w:before="0" w:after="0"/>
        <w:jc w:val="left"/>
        <w:rPr/>
      </w:pPr>
      <w:r>
        <w:rPr/>
      </w:r>
    </w:p>
    <w:tbl>
      <w:tblPr>
        <w:tblW w:w="6209" w:type="dxa"/>
        <w:jc w:val="left"/>
        <w:tblInd w:w="0" w:type="dxa"/>
        <w:tblLayout w:type="fixed"/>
        <w:tblCellMar>
          <w:top w:w="28" w:type="dxa"/>
          <w:left w:w="28" w:type="dxa"/>
          <w:bottom w:w="28" w:type="dxa"/>
          <w:right w:w="28" w:type="dxa"/>
        </w:tblCellMar>
      </w:tblPr>
      <w:tblGrid>
        <w:gridCol w:w="1354"/>
        <w:gridCol w:w="1187"/>
        <w:gridCol w:w="1193"/>
        <w:gridCol w:w="395"/>
        <w:gridCol w:w="236"/>
        <w:gridCol w:w="224"/>
        <w:gridCol w:w="224"/>
        <w:gridCol w:w="224"/>
        <w:gridCol w:w="224"/>
        <w:gridCol w:w="394"/>
        <w:gridCol w:w="237"/>
        <w:gridCol w:w="317"/>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6,504</w:t>
            </w: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1,467</w:t>
            </w: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US$</w:t>
      </w:r>
      <w:r>
        <w:rPr>
          <w:rFonts w:ascii="Times New Roman;serif" w:hAnsi="Times New Roman;serif"/>
          <w:b w:val="false"/>
          <w:color w:val="000000"/>
          <w:sz w:val="20"/>
        </w:rPr>
        <w:t>3,920</w:t>
      </w:r>
      <w:r>
        <w:rPr>
          <w:color w:val="000000"/>
          <w:shd w:fill="FFFFFF" w:val="clear"/>
        </w:rPr>
        <w:t xml:space="preserve"> </w:t>
      </w:r>
      <w:r>
        <w:rPr>
          <w:rFonts w:ascii="Times New Roman;serif" w:hAnsi="Times New Roman;serif"/>
          <w:b w:val="false"/>
          <w:color w:val="000000"/>
          <w:sz w:val="20"/>
          <w:shd w:fill="FFFFFF" w:val="clear"/>
        </w:rPr>
        <w:t xml:space="preserve">of the total unrecognized compensation expense related to RSUs, PSUs and options are expected to be recognized over a weighted-average period of </w:t>
      </w:r>
      <w:r>
        <w:rPr>
          <w:rFonts w:ascii="Times New Roman;serif" w:hAnsi="Times New Roman;serif"/>
          <w:b w:val="false"/>
          <w:color w:val="000000"/>
          <w:sz w:val="20"/>
        </w:rPr>
        <w:t>2.9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18.    Revenue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Revenues are disaggregated as follow: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Major products/services lines:</w:t>
      </w:r>
    </w:p>
    <w:tbl>
      <w:tblPr>
        <w:tblW w:w="8445" w:type="dxa"/>
        <w:jc w:val="left"/>
        <w:tblInd w:w="0" w:type="dxa"/>
        <w:tblLayout w:type="fixed"/>
        <w:tblCellMar>
          <w:top w:w="28" w:type="dxa"/>
          <w:left w:w="28" w:type="dxa"/>
          <w:bottom w:w="28" w:type="dxa"/>
          <w:right w:w="28" w:type="dxa"/>
        </w:tblCellMar>
      </w:tblPr>
      <w:tblGrid>
        <w:gridCol w:w="2008"/>
        <w:gridCol w:w="1766"/>
        <w:gridCol w:w="1776"/>
        <w:gridCol w:w="527"/>
        <w:gridCol w:w="314"/>
        <w:gridCol w:w="224"/>
        <w:gridCol w:w="224"/>
        <w:gridCol w:w="224"/>
        <w:gridCol w:w="224"/>
        <w:gridCol w:w="527"/>
        <w:gridCol w:w="314"/>
        <w:gridCol w:w="317"/>
      </w:tblGrid>
      <w:tr>
        <w:trPr/>
        <w:tc>
          <w:tcPr>
            <w:tcW w:w="2008"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of goods revenues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251,942</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310,150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Automotive computing platform</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215,680 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258,535 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SoC Core Modules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36,252 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47,909 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Automotive merchandise and other products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 license revenues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26,787</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Service revenues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44,552</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44,242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Automotive computing Platform – Design and development service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23,025 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39,334 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Connectivity service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19,020 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services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323,281</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356,682</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Timing of revenue recognition:</w:t>
      </w:r>
    </w:p>
    <w:tbl>
      <w:tblPr>
        <w:tblW w:w="4274" w:type="dxa"/>
        <w:jc w:val="left"/>
        <w:tblInd w:w="0" w:type="dxa"/>
        <w:tblLayout w:type="fixed"/>
        <w:tblCellMar>
          <w:top w:w="28" w:type="dxa"/>
          <w:left w:w="28" w:type="dxa"/>
          <w:bottom w:w="28" w:type="dxa"/>
          <w:right w:w="28" w:type="dxa"/>
        </w:tblCellMar>
      </w:tblPr>
      <w:tblGrid>
        <w:gridCol w:w="499"/>
        <w:gridCol w:w="439"/>
        <w:gridCol w:w="441"/>
        <w:gridCol w:w="527"/>
        <w:gridCol w:w="314"/>
        <w:gridCol w:w="224"/>
        <w:gridCol w:w="224"/>
        <w:gridCol w:w="224"/>
        <w:gridCol w:w="224"/>
        <w:gridCol w:w="527"/>
        <w:gridCol w:w="314"/>
        <w:gridCol w:w="317"/>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304,261 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323,281</w:t>
            </w: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356,682</w:t>
            </w: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2026, the Group’s revenues were substantially all generated in the PRC.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consisted of the following:</w:t>
      </w:r>
    </w:p>
    <w:p>
      <w:pPr>
        <w:pStyle w:val="TextBody"/>
        <w:bidi w:val="0"/>
        <w:spacing w:before="0" w:after="0"/>
        <w:jc w:val="left"/>
        <w:rPr/>
      </w:pPr>
      <w:r>
        <w:rPr/>
      </w:r>
    </w:p>
    <w:tbl>
      <w:tblPr>
        <w:tblW w:w="6865" w:type="dxa"/>
        <w:jc w:val="left"/>
        <w:tblInd w:w="0" w:type="dxa"/>
        <w:tblLayout w:type="fixed"/>
        <w:tblCellMar>
          <w:top w:w="28" w:type="dxa"/>
          <w:left w:w="28" w:type="dxa"/>
          <w:bottom w:w="28" w:type="dxa"/>
          <w:right w:w="28" w:type="dxa"/>
        </w:tblCellMar>
      </w:tblPr>
      <w:tblGrid>
        <w:gridCol w:w="1389"/>
        <w:gridCol w:w="1224"/>
        <w:gridCol w:w="1227"/>
        <w:gridCol w:w="504"/>
        <w:gridCol w:w="504"/>
        <w:gridCol w:w="506"/>
        <w:gridCol w:w="109"/>
        <w:gridCol w:w="109"/>
        <w:gridCol w:w="109"/>
        <w:gridCol w:w="346"/>
        <w:gridCol w:w="346"/>
        <w:gridCol w:w="492"/>
      </w:tblGrid>
      <w:tr>
        <w:trPr/>
        <w:tc>
          <w:tcPr>
            <w:tcW w:w="138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third parties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related parties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 related parties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liabilities, current and non-current</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7,458</w:t>
            </w: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3,957</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amount of revenue recognized that was included in the contract liabilities balance at the beginning of the period was US$12,689 and US$3,739 for the six months ended June 30, 2025 and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19. Other non-operating (expenses) income, net</w:t>
      </w:r>
    </w:p>
    <w:tbl>
      <w:tblPr>
        <w:tblW w:w="7346" w:type="dxa"/>
        <w:jc w:val="left"/>
        <w:tblInd w:w="0" w:type="dxa"/>
        <w:tblLayout w:type="fixed"/>
        <w:tblCellMar>
          <w:top w:w="28" w:type="dxa"/>
          <w:left w:w="28" w:type="dxa"/>
          <w:bottom w:w="28" w:type="dxa"/>
          <w:right w:w="28" w:type="dxa"/>
        </w:tblCellMar>
      </w:tblPr>
      <w:tblGrid>
        <w:gridCol w:w="1622"/>
        <w:gridCol w:w="1429"/>
        <w:gridCol w:w="1434"/>
        <w:gridCol w:w="109"/>
        <w:gridCol w:w="109"/>
        <w:gridCol w:w="109"/>
        <w:gridCol w:w="394"/>
        <w:gridCol w:w="237"/>
        <w:gridCol w:w="224"/>
        <w:gridCol w:w="224"/>
        <w:gridCol w:w="224"/>
        <w:gridCol w:w="224"/>
        <w:gridCol w:w="432"/>
        <w:gridCol w:w="258"/>
        <w:gridCol w:w="317"/>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an equity security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(Note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assets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(Note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3,137</w:t>
            </w:r>
            <w:r>
              <w:rPr>
                <w:color w:val="000000"/>
              </w:rPr>
              <w:t>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(1,478)</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Group received government grants of US$10,254 and US$980 during the six months ended June 30, 2025 and 2026 respectively, and recognized US$3,247 and US$980 as non-operating (expenses) income, net in the Group's consolidated statements of comprehensive loss for the six months ended June 30, 2025 and 2026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significant commitments, contingencies or provision for recapture conditions for the government subsidies received for the six months ended June 30, 2025 and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20.    Income taxes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statutory income tax rate for the Group is 25% for the six months ended June 30, 2025 and 2026. The effective income tax rate for the six months ended June 30, 2025 and 2026 differs from the PRC statutory income tax rate of 25%, primarily due to the recognition of full valuation allowance for deferred income tax assets of loss-making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21.    Redeemable noncontrolling interests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the Group entered into an agreement with a third party investor, pursuant to which the investor agreed to contribute RMB300,000 (equivalent to US$44,196) in cash in exchange for a 30% equity interests in a subsidiary of the Group. As of June 30, 2026, the investor had contributed RMB100,000 (equivalent to US$14,638) and acquired a 26.39% equity interest in the subsidiary.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investor has the right to require the Group to repurchase all or a portion of its equity interests for cash upon the fifth anniversary of the first investment installment or upon the occurrence of certain contingent events. The redemption price is equal to the investment amount attributable to the equity interests subject to repurchase, plus simple interest at a rate of 5% per annum. As the Group does not solely control whether the redemption events will occur, the redeemable noncontrolling interests are classified as mezzanine equity in the Group’s consolidated balance sheets. The redeemable noncontrolling interest initially recorded at its fair value. Any accretion due to the redemption feature is determined after the attribution of net income or loss of the subsidiary and dividends to the noncontrolling interest 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the carrying amount of redeemable noncontrolling interests is as follows:</w:t>
      </w:r>
    </w:p>
    <w:tbl>
      <w:tblPr>
        <w:tblW w:w="8621" w:type="dxa"/>
        <w:jc w:val="left"/>
        <w:tblInd w:w="0" w:type="dxa"/>
        <w:tblLayout w:type="fixed"/>
        <w:tblCellMar>
          <w:top w:w="28" w:type="dxa"/>
          <w:left w:w="28" w:type="dxa"/>
          <w:bottom w:w="28" w:type="dxa"/>
          <w:right w:w="28" w:type="dxa"/>
        </w:tblCellMar>
      </w:tblPr>
      <w:tblGrid>
        <w:gridCol w:w="2094"/>
        <w:gridCol w:w="1833"/>
        <w:gridCol w:w="1848"/>
        <w:gridCol w:w="109"/>
        <w:gridCol w:w="109"/>
        <w:gridCol w:w="109"/>
        <w:gridCol w:w="736"/>
        <w:gridCol w:w="736"/>
        <w:gridCol w:w="1047"/>
      </w:tblGrid>
      <w:tr>
        <w:trPr/>
        <w:tc>
          <w:tcPr>
            <w:tcW w:w="2094"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14,638 </w:t>
            </w:r>
          </w:p>
        </w:tc>
        <w:tc>
          <w:tcPr>
            <w:tcW w:w="10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to redemption value of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14,761</w:t>
            </w:r>
            <w:r>
              <w:rPr>
                <w:color w:val="000000"/>
              </w:rPr>
              <w:t> </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22.    Loss per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for the six months ended June 30, 2025 and 2026 have been calculated as follows:</w:t>
      </w:r>
    </w:p>
    <w:p>
      <w:pPr>
        <w:pStyle w:val="TextBody"/>
        <w:bidi w:val="0"/>
        <w:spacing w:before="0" w:after="0"/>
        <w:jc w:val="left"/>
        <w:rPr/>
      </w:pPr>
      <w:r>
        <w:rPr/>
      </w:r>
    </w:p>
    <w:tbl>
      <w:tblPr>
        <w:tblW w:w="9096" w:type="dxa"/>
        <w:jc w:val="left"/>
        <w:tblInd w:w="0" w:type="dxa"/>
        <w:tblLayout w:type="fixed"/>
        <w:tblCellMar>
          <w:top w:w="28" w:type="dxa"/>
          <w:left w:w="28" w:type="dxa"/>
          <w:bottom w:w="28" w:type="dxa"/>
          <w:right w:w="28" w:type="dxa"/>
        </w:tblCellMar>
      </w:tblPr>
      <w:tblGrid>
        <w:gridCol w:w="1989"/>
        <w:gridCol w:w="1750"/>
        <w:gridCol w:w="1765"/>
        <w:gridCol w:w="738"/>
        <w:gridCol w:w="463"/>
        <w:gridCol w:w="220"/>
        <w:gridCol w:w="220"/>
        <w:gridCol w:w="220"/>
        <w:gridCol w:w="220"/>
        <w:gridCol w:w="738"/>
        <w:gridCol w:w="463"/>
        <w:gridCol w:w="310"/>
      </w:tblGrid>
      <w:tr>
        <w:trPr/>
        <w:tc>
          <w:tcPr>
            <w:tcW w:w="198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Ecarx Holdings Inc.</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noncontrolling interests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(1,809)</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net loss per share calculation</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(69,056)</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(22,797)</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 basic and diluted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337,210,153 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368,244,708 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for basic and diluted net loss per share calculation</w:t>
            </w:r>
          </w:p>
        </w:tc>
        <w:tc>
          <w:tcPr>
            <w:tcW w:w="12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337,210,153</w:t>
            </w:r>
            <w:r>
              <w:rPr>
                <w:color w:val="000000"/>
              </w:rPr>
              <w:t> </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368,244,708</w:t>
            </w:r>
            <w:r>
              <w:rPr>
                <w:color w:val="000000"/>
              </w:rPr>
              <w:t> </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attributable to ordinary shareholders</w:t>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Basic and diluted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potential dilutive instruments that have not been included in the calculation of diluted loss per share as their inclusion would be anti-dilutive are as follows:</w:t>
      </w:r>
    </w:p>
    <w:p>
      <w:pPr>
        <w:pStyle w:val="TextBody"/>
        <w:bidi w:val="0"/>
        <w:spacing w:before="0" w:after="0"/>
        <w:jc w:val="left"/>
        <w:rPr/>
      </w:pPr>
      <w:r>
        <w:rPr/>
      </w:r>
    </w:p>
    <w:tbl>
      <w:tblPr>
        <w:tblW w:w="4957" w:type="dxa"/>
        <w:jc w:val="left"/>
        <w:tblInd w:w="0" w:type="dxa"/>
        <w:tblLayout w:type="fixed"/>
        <w:tblCellMar>
          <w:top w:w="28" w:type="dxa"/>
          <w:left w:w="28" w:type="dxa"/>
          <w:bottom w:w="28" w:type="dxa"/>
          <w:right w:w="28" w:type="dxa"/>
        </w:tblCellMar>
      </w:tblPr>
      <w:tblGrid>
        <w:gridCol w:w="580"/>
        <w:gridCol w:w="511"/>
        <w:gridCol w:w="514"/>
        <w:gridCol w:w="666"/>
        <w:gridCol w:w="415"/>
        <w:gridCol w:w="220"/>
        <w:gridCol w:w="220"/>
        <w:gridCol w:w="220"/>
        <w:gridCol w:w="220"/>
        <w:gridCol w:w="666"/>
        <w:gridCol w:w="415"/>
        <w:gridCol w:w="31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23,871,971 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23,871,971 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19,824,537 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21,298,088 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191,918 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5,652,174 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60,874,795 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six-months ended June 30, 2026, unvested PSUs of 600,000 shares are not included in the calculation of basic or diluted loss per share, as the issuance of such shares is contingent upon qualifying conditions, which was not satisfied as of the period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color w:val="000000"/>
          <w:sz w:val="20"/>
        </w:rPr>
        <w:t>23</w:t>
      </w:r>
      <w:r>
        <w:rPr>
          <w:rFonts w:ascii="Arial;sans-serif" w:hAnsi="Arial;sans-serif"/>
          <w:b w:val="false"/>
          <w:color w:val="000000"/>
          <w:sz w:val="24"/>
        </w:rPr>
        <w:t xml:space="preserve">. </w:t>
      </w:r>
      <w:r>
        <w:rPr>
          <w:rFonts w:ascii="Times New Roman;serif" w:hAnsi="Times New Roman;serif"/>
          <w:b/>
          <w:color w:val="000000"/>
          <w:sz w:val="20"/>
        </w:rPr>
        <w:t>Fair value measurement</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include equity securities, available-for-sale debt investments, warrant liabilities and derivative liability.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the major financial instruments measured at fair value, by level within the fair value hierarchy as of June 30, 2026.</w:t>
      </w:r>
    </w:p>
    <w:tbl>
      <w:tblPr>
        <w:tblW w:w="10205" w:type="dxa"/>
        <w:jc w:val="left"/>
        <w:tblInd w:w="0" w:type="dxa"/>
        <w:tblLayout w:type="fixed"/>
        <w:tblCellMar>
          <w:top w:w="28" w:type="dxa"/>
          <w:left w:w="28" w:type="dxa"/>
          <w:bottom w:w="28" w:type="dxa"/>
          <w:right w:w="28" w:type="dxa"/>
        </w:tblCellMar>
      </w:tblPr>
      <w:tblGrid>
        <w:gridCol w:w="1260"/>
        <w:gridCol w:w="774"/>
        <w:gridCol w:w="781"/>
        <w:gridCol w:w="614"/>
        <w:gridCol w:w="352"/>
        <w:gridCol w:w="354"/>
        <w:gridCol w:w="109"/>
        <w:gridCol w:w="109"/>
        <w:gridCol w:w="109"/>
        <w:gridCol w:w="715"/>
        <w:gridCol w:w="552"/>
        <w:gridCol w:w="554"/>
        <w:gridCol w:w="148"/>
        <w:gridCol w:w="148"/>
        <w:gridCol w:w="148"/>
        <w:gridCol w:w="485"/>
        <w:gridCol w:w="485"/>
        <w:gridCol w:w="487"/>
        <w:gridCol w:w="148"/>
        <w:gridCol w:w="148"/>
        <w:gridCol w:w="148"/>
        <w:gridCol w:w="484"/>
        <w:gridCol w:w="447"/>
        <w:gridCol w:w="646"/>
      </w:tblGrid>
      <w:tr>
        <w:trPr/>
        <w:tc>
          <w:tcPr>
            <w:tcW w:w="12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Assets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 net – equity securities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 net – available-for-sale debt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 public warrants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 private warrants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 derivative liability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Valuation techniques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securities: The Company values the listed equity securities using quoted prices for the underlying securities in active markets and accordingly, the Group classifies the valuation techniques that use these inputs as Level 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investments: As the Company’s available-for-sale debt investment is not traded in an active market with readily observable quoted prices, the Company uses significant unobservable inputs (Level 3) to measure its fair value at inception and at each subsequent balance sheet date. See Note 7 for information about the significant unobservable inputs used in the respective fair value measurements.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Public Warrants and Private Warrants: Public Warrants is classified as Level 1 due to the use of the observed trading price. For Private Warrants, see Note 15 for information about the significant unobservable inputs (Level 3) used in the fair value measurements.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liability: Derivative liability represents the bifurcated feature embedded in the Initial Note 14. The fair value of derivative liability is measured using income approach. See Note 14 for information about the significant unobservable inputs used in the respective fair value measurements.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other financial assets and liabilities of the Group primarily consist of cash, restricted cash, short-term investments, accounts receivable, notes receivable, amounts due from related parties, receivables included in prepayments and other current assets and other non-current assets, short-term borrowings, long term borrowings, accounts payable, notes payable, amounts due to related parties, convertible notes payable (see Note 14 for more details), operating lease liabilities, payables included in accrued expenses and other current liabilities. As of June 30, 2026, the fair values of long-term borrowings and operating lease liabilities approximate to their carrying values, which is due to that the underlying interest rates approximated to the market rates for similar instruments with similar maturities. The carrying values of other financial instruments approximate their fair values due to the short-term maturity of these instruments or their interest rates are comparable to the prevailing interest rates in the market.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Group’s non</w:t>
        <w:noBreakHyphen/>
        <w:t>financial assets, such as goodwill, property and equipment and intangible assets, operating lease right-of-use assets, would be measured at fair value only if they were determined to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24.    Commitments and contingencies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Group had contractual investment commitments in connection with its equity investments in Hubei Qiguang (Note 25(vi)) and Fuyang Fund. The total investment commitment contracted but not yet reflected in the unaudited condensed consolidated financial statements as of June 30, 2026 were as follows:</w:t>
      </w:r>
    </w:p>
    <w:p>
      <w:pPr>
        <w:pStyle w:val="TextBody"/>
        <w:bidi w:val="0"/>
        <w:spacing w:before="0" w:after="0"/>
        <w:jc w:val="left"/>
        <w:rPr/>
      </w:pPr>
      <w:r>
        <w:rPr/>
      </w:r>
    </w:p>
    <w:tbl>
      <w:tblPr>
        <w:tblW w:w="8960" w:type="dxa"/>
        <w:jc w:val="left"/>
        <w:tblInd w:w="0" w:type="dxa"/>
        <w:tblLayout w:type="fixed"/>
        <w:tblCellMar>
          <w:top w:w="28" w:type="dxa"/>
          <w:left w:w="28" w:type="dxa"/>
          <w:bottom w:w="28" w:type="dxa"/>
          <w:right w:w="28" w:type="dxa"/>
        </w:tblCellMar>
      </w:tblPr>
      <w:tblGrid>
        <w:gridCol w:w="781"/>
        <w:gridCol w:w="687"/>
        <w:gridCol w:w="691"/>
        <w:gridCol w:w="413"/>
        <w:gridCol w:w="413"/>
        <w:gridCol w:w="166"/>
        <w:gridCol w:w="109"/>
        <w:gridCol w:w="109"/>
        <w:gridCol w:w="109"/>
        <w:gridCol w:w="413"/>
        <w:gridCol w:w="413"/>
        <w:gridCol w:w="26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193"/>
        <w:gridCol w:w="193"/>
        <w:gridCol w:w="27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 5</w:t>
              <w:br/>
              <w:t>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commitments</w:t>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192,253 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192,253 </w:t>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Capital commitments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 contracted but not yet reflected in the unaudited condensed consolidated financial statements as of June 30, 2026 were as follows:</w:t>
      </w:r>
    </w:p>
    <w:tbl>
      <w:tblPr>
        <w:tblW w:w="8261" w:type="dxa"/>
        <w:jc w:val="left"/>
        <w:tblInd w:w="0" w:type="dxa"/>
        <w:tblLayout w:type="fixed"/>
        <w:tblCellMar>
          <w:top w:w="28" w:type="dxa"/>
          <w:left w:w="28" w:type="dxa"/>
          <w:bottom w:w="28" w:type="dxa"/>
          <w:right w:w="28" w:type="dxa"/>
        </w:tblCellMar>
      </w:tblPr>
      <w:tblGrid>
        <w:gridCol w:w="673"/>
        <w:gridCol w:w="592"/>
        <w:gridCol w:w="595"/>
        <w:gridCol w:w="308"/>
        <w:gridCol w:w="308"/>
        <w:gridCol w:w="166"/>
        <w:gridCol w:w="109"/>
        <w:gridCol w:w="109"/>
        <w:gridCol w:w="109"/>
        <w:gridCol w:w="308"/>
        <w:gridCol w:w="308"/>
        <w:gridCol w:w="26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203"/>
        <w:gridCol w:w="203"/>
        <w:gridCol w:w="27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 5</w:t>
              <w:br/>
              <w:t>Years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commitments</w:t>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Group has future purchase commitment mainly related to the purchase of research and development services. Total purchase obligations contracted but not yet reflected in the unaudited condensed consolidated financial statements as of June 30, 2026 were as follows:</w:t>
      </w:r>
    </w:p>
    <w:tbl>
      <w:tblPr>
        <w:tblW w:w="8515" w:type="dxa"/>
        <w:jc w:val="left"/>
        <w:tblInd w:w="0" w:type="dxa"/>
        <w:tblLayout w:type="fixed"/>
        <w:tblCellMar>
          <w:top w:w="28" w:type="dxa"/>
          <w:left w:w="28" w:type="dxa"/>
          <w:bottom w:w="28" w:type="dxa"/>
          <w:right w:w="28" w:type="dxa"/>
        </w:tblCellMar>
      </w:tblPr>
      <w:tblGrid>
        <w:gridCol w:w="689"/>
        <w:gridCol w:w="606"/>
        <w:gridCol w:w="609"/>
        <w:gridCol w:w="360"/>
        <w:gridCol w:w="361"/>
        <w:gridCol w:w="166"/>
        <w:gridCol w:w="109"/>
        <w:gridCol w:w="109"/>
        <w:gridCol w:w="109"/>
        <w:gridCol w:w="360"/>
        <w:gridCol w:w="361"/>
        <w:gridCol w:w="26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203"/>
        <w:gridCol w:w="203"/>
        <w:gridCol w:w="27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 5</w:t>
              <w:br/>
              <w:t>Years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w:t>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23,979 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23,979 </w:t>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25.    Related party balances and transactions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(a)Related Parties</w:t>
      </w:r>
    </w:p>
    <w:tbl>
      <w:tblPr>
        <w:tblW w:w="10205" w:type="dxa"/>
        <w:jc w:val="left"/>
        <w:tblInd w:w="0" w:type="dxa"/>
        <w:tblLayout w:type="fixed"/>
        <w:tblCellMar>
          <w:top w:w="28" w:type="dxa"/>
          <w:left w:w="28" w:type="dxa"/>
          <w:bottom w:w="28" w:type="dxa"/>
          <w:right w:w="28" w:type="dxa"/>
        </w:tblCellMar>
      </w:tblPr>
      <w:tblGrid>
        <w:gridCol w:w="1786"/>
        <w:gridCol w:w="1425"/>
        <w:gridCol w:w="1436"/>
        <w:gridCol w:w="109"/>
        <w:gridCol w:w="109"/>
        <w:gridCol w:w="109"/>
        <w:gridCol w:w="1548"/>
        <w:gridCol w:w="1521"/>
        <w:gridCol w:w="2162"/>
      </w:tblGrid>
      <w:tr>
        <w:trPr/>
        <w:tc>
          <w:tcPr>
            <w:tcW w:w="178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Names of the major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Nature of relationship</w:t>
            </w:r>
          </w:p>
        </w:tc>
      </w:tr>
      <w:tr>
        <w:trPr/>
        <w:tc>
          <w:tcPr>
            <w:tcW w:w="4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Zhejiang Geely Holding Group (“Geely Group”) and its subsidiaries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Anhui Xinzhi Technology Co., Ltd. (“Anhui Xinzhi”)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Zhejiang Huanfu Technology Co., Ltd., ("Zhejiang Huanfu")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Hubei Xingji Meizu Group Co., Ltd. ("Xingji Meizu")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Wuhan Xingji Meizu Technology Co., Ltd and its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Hubei ECARX Technology Co., Ltd (“Hubei ECARX”)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DreamSmart Technology Pte. Ltd. (“DreamSmart”) and its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HaleyTek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controlled by the controlling shareholder of the Company</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Proton Holdings Berhad and its subsidiaries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Entity that the controlling shareholder of the Company has significant influence</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SiEngine Technology Co., Ltd. (“SiEngine”)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Entity which is under significant influence of the Company</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 U Chance Technology Co.,Ltd.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which is under significant influence of the Company before January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(b)Significant transactions with related parties, except transactions disclosed elsewhere in these unaudited condensed consolidated financial statements:</w:t>
      </w:r>
    </w:p>
    <w:tbl>
      <w:tblPr>
        <w:tblW w:w="8714" w:type="dxa"/>
        <w:jc w:val="left"/>
        <w:tblInd w:w="0" w:type="dxa"/>
        <w:tblLayout w:type="fixed"/>
        <w:tblCellMar>
          <w:top w:w="28" w:type="dxa"/>
          <w:left w:w="28" w:type="dxa"/>
          <w:bottom w:w="28" w:type="dxa"/>
          <w:right w:w="28" w:type="dxa"/>
        </w:tblCellMar>
      </w:tblPr>
      <w:tblGrid>
        <w:gridCol w:w="2106"/>
        <w:gridCol w:w="1854"/>
        <w:gridCol w:w="1859"/>
        <w:gridCol w:w="527"/>
        <w:gridCol w:w="314"/>
        <w:gridCol w:w="224"/>
        <w:gridCol w:w="224"/>
        <w:gridCol w:w="224"/>
        <w:gridCol w:w="224"/>
        <w:gridCol w:w="527"/>
        <w:gridCol w:w="314"/>
        <w:gridCol w:w="317"/>
      </w:tblGrid>
      <w:tr>
        <w:trPr/>
        <w:tc>
          <w:tcPr>
            <w:tcW w:w="210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Revenues(i):</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 revenues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211,818</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276,841</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Automotive computing platform</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211,747 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256,153 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SoC Core Modules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17,851 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Automotive merchandise and other products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2,837 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revenues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24,999</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1,929</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44,342</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38,682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Automotive computing platform – Design and development service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22,823 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33,651 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Including: Automotive computing platform – Design and development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 to Xingji Meizu</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Connectivity service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19,019 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3,383 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services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281,159</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317,452</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14" w:type="dxa"/>
        <w:jc w:val="left"/>
        <w:tblInd w:w="0" w:type="dxa"/>
        <w:tblLayout w:type="fixed"/>
        <w:tblCellMar>
          <w:top w:w="28" w:type="dxa"/>
          <w:left w:w="28" w:type="dxa"/>
          <w:bottom w:w="28" w:type="dxa"/>
          <w:right w:w="28" w:type="dxa"/>
        </w:tblCellMar>
      </w:tblPr>
      <w:tblGrid>
        <w:gridCol w:w="2299"/>
        <w:gridCol w:w="2026"/>
        <w:gridCol w:w="2034"/>
        <w:gridCol w:w="452"/>
        <w:gridCol w:w="269"/>
        <w:gridCol w:w="224"/>
        <w:gridCol w:w="224"/>
        <w:gridCol w:w="224"/>
        <w:gridCol w:w="224"/>
        <w:gridCol w:w="452"/>
        <w:gridCol w:w="269"/>
        <w:gridCol w:w="317"/>
      </w:tblGrid>
      <w:tr>
        <w:trPr/>
        <w:tc>
          <w:tcPr>
            <w:tcW w:w="229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products and services (ii)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Including:</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color w:val="000000"/>
              </w:rPr>
              <w:t>–</w:t>
            </w:r>
            <w:r>
              <w:rPr>
                <w:rFonts w:ascii="Times New Roman;serif" w:hAnsi="Times New Roman;serif"/>
                <w:b w:val="false"/>
                <w:color w:val="000000"/>
                <w:sz w:val="20"/>
              </w:rPr>
              <w:t>Purchase of products and services from Zhejiang Huanfu (ii)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color w:val="000000"/>
              </w:rPr>
              <w:t>–</w:t>
            </w:r>
            <w:r>
              <w:rPr>
                <w:rFonts w:ascii="Times New Roman;serif" w:hAnsi="Times New Roman;serif"/>
                <w:b w:val="false"/>
                <w:color w:val="000000"/>
                <w:sz w:val="20"/>
              </w:rPr>
              <w:t>Purchase of products and services from Hubei Ecarx (ii)</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color w:val="000000"/>
              </w:rPr>
              <w:t>–</w:t>
            </w:r>
            <w:r>
              <w:rPr>
                <w:rFonts w:ascii="Times New Roman;serif" w:hAnsi="Times New Roman;serif"/>
                <w:b w:val="false"/>
                <w:color w:val="000000"/>
                <w:sz w:val="20"/>
              </w:rPr>
              <w:t>Purchase of products and services from Xingji Meizu (ii)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of office space and administrative services (ii)</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loans due from related parties (iii)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Interest income on loans due from Xingji Meizu</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Interest income on loans due from Hubei ECARX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borrowings due to related parties (iv)</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Interest expense on loans due to Hubei ECARX (iii)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advances to related parties (iii)</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Loans to Xingji Meizu (iii)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collection of loans to related parties and advances to related parties (iii)</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Cash collection of loans to Xingji Meizu (iii)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related parties (iv)</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 from related parties (iv)</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assignment and offset with related parties(iv)</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related parties (v)</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to related parties (v)</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Prepayments for acquisition of Hubei Qiguang (vi)</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(c)Balances with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tbl>
      <w:tblPr>
        <w:tblW w:w="7433" w:type="dxa"/>
        <w:jc w:val="left"/>
        <w:tblInd w:w="0" w:type="dxa"/>
        <w:tblLayout w:type="fixed"/>
        <w:tblCellMar>
          <w:top w:w="28" w:type="dxa"/>
          <w:left w:w="28" w:type="dxa"/>
          <w:bottom w:w="28" w:type="dxa"/>
          <w:right w:w="28" w:type="dxa"/>
        </w:tblCellMar>
      </w:tblPr>
      <w:tblGrid>
        <w:gridCol w:w="1548"/>
        <w:gridCol w:w="1361"/>
        <w:gridCol w:w="1365"/>
        <w:gridCol w:w="504"/>
        <w:gridCol w:w="504"/>
        <w:gridCol w:w="506"/>
        <w:gridCol w:w="109"/>
        <w:gridCol w:w="109"/>
        <w:gridCol w:w="109"/>
        <w:gridCol w:w="433"/>
        <w:gridCol w:w="393"/>
        <w:gridCol w:w="492"/>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 related parties, net (i) </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related parties (ii)(iii)(v)</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 related parties (ii)(iii)(vi)</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parties (ii)</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related parties (ii)(iv)(v)</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54,648 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current (i)</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noncurrent (i)</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240" w:after="283"/>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(i)The Group sold automotive computing platform products, merchandise and other products, software licenses and provided related technology development services, connectivity service, and other consulting services to a number of related parties. Among these, the Group sold automotive computing platform products, licensed the intellectual property related to TSP software and provided other consulting services to Zhejiang Huanfu. Accounts receivable, net due from related parties arising from sales of products and provision of services were US$185,536, and US$209,702 as of December 31, 2025 and June 30, 2026, respectively. Contract liabilities, current and contract liabilities, noncurrent were US$7,325 and US$3,830 and US$10 and US$2 as of December 31, 2025 and June 30, 2026, respectively.</w:t>
      </w:r>
    </w:p>
    <w:p>
      <w:pPr>
        <w:pStyle w:val="TextBody"/>
        <w:bidi w:val="0"/>
        <w:spacing w:before="60" w:after="283"/>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(ii)The Group purchased raw materials, technology development services and other consulting services from a number of related parties, of which, US$15,831 and US$10,941 of purchase of raw materials were recorded as inventories as of June 30, 2025 and 2026, respectively, US$69,605 and US$65,160 were recorded in cost of revenues for the six months ended June 30, 2025 and 2026, respectively, US$1,369 and US$3,499 were recorded in operating expenses for the six months ended June 30, 2025 and 2026,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Group purchased raw materials, technology development services and TSP maintenance service from Zhejiang Huanfu, of which, US$100 and US$5,955 were recorded in cost of revenues for the six months ended June 30, 2025 and 2026, respectively; US$68 and US$111 were recorded in operating expenses for the six months ended June 30, 2025 and 2026, respectively. The Group also purchased research and development service from Hubei Ecarx of which, US$608 and nil were recorded in cost of revenues, US$247 and US$164 were recorded in operating expenses for the six months ended June 30, 2025 and 2026. The Group also purchased raw materials, software and research and development services from Xingji Meizu, of which, US$12,612 and US$26,317 were recorded in cost of revenues, nil and US$2,061 were recorded in operating expenses for the six months ended June 30, 2025 and 2026, respectively.</w:t>
      </w:r>
    </w:p>
    <w:p>
      <w:pPr>
        <w:pStyle w:val="TextBody"/>
        <w:bidi w:val="0"/>
        <w:spacing w:lineRule="auto" w:line="268" w:before="0" w:after="0"/>
        <w:jc w:val="left"/>
        <w:rPr/>
      </w:pPr>
      <w:r>
        <w:rPr>
          <w:rFonts w:ascii="Times New Roman;serif" w:hAnsi="Times New Roman;serif"/>
          <w:b w:val="false"/>
          <w:color w:val="231F20"/>
          <w:sz w:val="16"/>
        </w:rPr>
        <w:t>T</w:t>
      </w:r>
      <w:r>
        <w:rPr>
          <w:rFonts w:ascii="Times New Roman;serif" w:hAnsi="Times New Roman;serif"/>
          <w:b w:val="false"/>
          <w:color w:val="000000"/>
          <w:sz w:val="16"/>
        </w:rPr>
        <w:t>he Group also rented office space from related parties, pursuant to which, the Group recorded rental expenses of US$1,088 and US$529 in operating expenses for the six months ended June 30, 2025 and 2026, respectively.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16"/>
        </w:rPr>
        <w:t xml:space="preserve">Accounts payable to related parties includes payables arising from purchase of raw materials and services of US$104,483 and US$45,939, and amount due from related parties includes prepayments arising from purchase of raw materials and services of US$10,169 and US$6,637 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xml:space="preserve">, respectively. Amounts due to related parties includes payables arising from purchase of technical services and logistics services of US$10,174 and US$18,338, and other non-current assets - related parties include prepayments arising from purchase of technical services of nil and US$7,314 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respectively.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231F20"/>
          <w:sz w:val="16"/>
        </w:rPr>
        <w:t xml:space="preserve">(iii)As of </w:t>
      </w:r>
      <w:r>
        <w:rPr>
          <w:rFonts w:ascii="Times New Roman;serif" w:hAnsi="Times New Roman;serif"/>
          <w:b w:val="false"/>
          <w:color w:val="000000"/>
          <w:sz w:val="16"/>
        </w:rPr>
        <w:t>December 31, 2025</w:t>
      </w:r>
      <w:r>
        <w:rPr>
          <w:rFonts w:ascii="Times New Roman;serif" w:hAnsi="Times New Roman;serif"/>
          <w:b w:val="false"/>
          <w:color w:val="231F20"/>
          <w:sz w:val="16"/>
        </w:rPr>
        <w:t xml:space="preserve">, the balance of amounts due from related parties included the amounts due from its former VIE, Hubei ECARX in the amount of US$10,040. In May 2026, the Group entered into a supplemental agreement with Hubei ECARX, pursuant to which the parties agreed to extend the maturity of the loan for an additional three years to December 31, 2029. As of </w:t>
      </w:r>
      <w:r>
        <w:rPr>
          <w:rFonts w:ascii="Times New Roman;serif" w:hAnsi="Times New Roman;serif"/>
          <w:b w:val="false"/>
          <w:color w:val="000000"/>
          <w:sz w:val="16"/>
        </w:rPr>
        <w:t>June 30, 2026</w:t>
      </w:r>
      <w:r>
        <w:rPr>
          <w:rFonts w:ascii="Times New Roman;serif" w:hAnsi="Times New Roman;serif"/>
          <w:b w:val="false"/>
          <w:color w:val="231F20"/>
          <w:sz w:val="16"/>
        </w:rPr>
        <w:t xml:space="preserve">, the carrying amount of the loan receivable from Hubei ECARX was US$9,345, which was included in other non-current assets – related parties. The carrying amount represented the present value of the loan receivable discounted at an effective interest rate of 3.5% per annum. Interest incomes on loans due from Hubei ECARX were US$795 and US$203 for the six months ended </w:t>
      </w:r>
      <w:r>
        <w:rPr>
          <w:rFonts w:ascii="Times New Roman;serif" w:hAnsi="Times New Roman;serif"/>
          <w:b w:val="false"/>
          <w:color w:val="000000"/>
          <w:sz w:val="16"/>
        </w:rPr>
        <w:t>June 30,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2026</w:t>
      </w:r>
      <w:r>
        <w:rPr>
          <w:rFonts w:ascii="Times New Roman;serif" w:hAnsi="Times New Roman;serif"/>
          <w:b w:val="false"/>
          <w:color w:val="231F20"/>
          <w:sz w:val="16"/>
        </w:rPr>
        <w:t>,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16"/>
        </w:rPr>
        <w:t>The Group provided loans of nil</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231F20"/>
          <w:sz w:val="16"/>
        </w:rPr>
        <w:t>US$83,072 to other related parties, received repayments of US$</w:t>
      </w:r>
      <w:r>
        <w:rPr>
          <w:rFonts w:ascii="Times New Roman;serif" w:hAnsi="Times New Roman;serif"/>
          <w:b w:val="false"/>
          <w:color w:val="000000"/>
          <w:sz w:val="16"/>
        </w:rPr>
        <w:t>1,341</w:t>
      </w:r>
      <w:r>
        <w:rPr>
          <w:color w:val="231F20"/>
        </w:rPr>
        <w:t xml:space="preserve"> </w:t>
      </w:r>
      <w:r>
        <w:rPr>
          <w:rFonts w:ascii="Times New Roman;serif" w:hAnsi="Times New Roman;serif"/>
          <w:b w:val="false"/>
          <w:color w:val="231F20"/>
          <w:sz w:val="16"/>
        </w:rPr>
        <w:t xml:space="preserve">and US$58,686 from other related parties for the </w:t>
      </w:r>
      <w:r>
        <w:rPr>
          <w:rFonts w:ascii="Times New Roman;serif" w:hAnsi="Times New Roman;serif"/>
          <w:b w:val="false"/>
          <w:color w:val="000000"/>
          <w:sz w:val="16"/>
        </w:rPr>
        <w:t>six months ended June 30, 2025 and 2026</w:t>
      </w:r>
      <w:r>
        <w:rPr>
          <w:color w:val="231F20"/>
        </w:rPr>
        <w:t xml:space="preserve"> </w:t>
      </w:r>
      <w:r>
        <w:rPr>
          <w:rFonts w:ascii="Times New Roman;serif" w:hAnsi="Times New Roman;serif"/>
          <w:b w:val="false"/>
          <w:color w:val="231F20"/>
          <w:sz w:val="16"/>
        </w:rPr>
        <w:t>respectively. Interest incomes on loans due from other related parties were US$</w:t>
      </w:r>
      <w:r>
        <w:rPr>
          <w:rFonts w:ascii="Times New Roman;serif" w:hAnsi="Times New Roman;serif"/>
          <w:b w:val="false"/>
          <w:color w:val="000000"/>
          <w:sz w:val="16"/>
        </w:rPr>
        <w:t>10</w:t>
      </w:r>
      <w:r>
        <w:rPr>
          <w:color w:val="231F20"/>
        </w:rPr>
        <w:t xml:space="preserve"> </w:t>
      </w:r>
      <w:r>
        <w:rPr>
          <w:rFonts w:ascii="Times New Roman;serif" w:hAnsi="Times New Roman;serif"/>
          <w:b w:val="false"/>
          <w:color w:val="231F20"/>
          <w:sz w:val="16"/>
        </w:rPr>
        <w:t>and US$</w:t>
      </w:r>
      <w:r>
        <w:rPr>
          <w:rFonts w:ascii="Times New Roman;serif" w:hAnsi="Times New Roman;serif"/>
          <w:b w:val="false"/>
          <w:color w:val="000000"/>
          <w:sz w:val="16"/>
        </w:rPr>
        <w:t>1,357</w:t>
      </w:r>
      <w:r>
        <w:rPr>
          <w:color w:val="231F20"/>
        </w:rPr>
        <w:t xml:space="preserve"> </w:t>
      </w:r>
      <w:r>
        <w:rPr>
          <w:rFonts w:ascii="Times New Roman;serif" w:hAnsi="Times New Roman;serif"/>
          <w:b w:val="false"/>
          <w:color w:val="231F20"/>
          <w:sz w:val="16"/>
        </w:rPr>
        <w:t xml:space="preserve">for the </w:t>
      </w:r>
      <w:r>
        <w:rPr>
          <w:rFonts w:ascii="Times New Roman;serif" w:hAnsi="Times New Roman;serif"/>
          <w:b w:val="false"/>
          <w:color w:val="000000"/>
          <w:sz w:val="16"/>
        </w:rPr>
        <w:t xml:space="preserve">six months ended June 30, 2025 and 2026, </w:t>
      </w:r>
      <w:r>
        <w:rPr>
          <w:rFonts w:ascii="Times New Roman;serif" w:hAnsi="Times New Roman;serif"/>
          <w:b w:val="false"/>
          <w:color w:val="231F20"/>
          <w:sz w:val="16"/>
        </w:rPr>
        <w:t>respectively.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16"/>
        </w:rPr>
        <w:t xml:space="preserve">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loans and interest receivables recorded in amounts due from related parties were US$7,024 and US$32,784.</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6"/>
        </w:rPr>
        <w:t>(iv)</w:t>
      </w:r>
      <w:r>
        <w:rPr>
          <w:rFonts w:ascii="Times New Roman;serif" w:hAnsi="Times New Roman;serif"/>
          <w:b w:val="false"/>
          <w:color w:val="231F20"/>
          <w:sz w:val="16"/>
        </w:rPr>
        <w:t xml:space="preserve">In January 2025, the Group obtained a renewed loan in an amount of US$27,252 loan from Geely Group bearing interest rate of 3.9% per annum. In March 2025, the Group entered into a debt assignment and offset agreement with Geely Group and its subsidiaries with respect to assignment and offset of the loan and accounts receivable from Geely Group and its subsidiaries amounting to US$4,919. In September 2025, the Group entered into another debt assignment and offset agreement with Geely Group and Hubei ECARX with respect to assignment and offset of the loan due to Geely Group and loan due from Hubei ECARX amounting to US$24,496. Following these offsets, the loan due to Geely group was fully cleared and no balance remained as at </w:t>
      </w:r>
      <w:r>
        <w:rPr>
          <w:rFonts w:ascii="Times New Roman;serif" w:hAnsi="Times New Roman;serif"/>
          <w:b w:val="false"/>
          <w:color w:val="000000"/>
          <w:sz w:val="16"/>
        </w:rPr>
        <w:t>December 31, 2025</w:t>
      </w:r>
      <w:r>
        <w:rPr>
          <w:rFonts w:ascii="Times New Roman;serif" w:hAnsi="Times New Roman;serif"/>
          <w:b w:val="false"/>
          <w:color w:val="231F20"/>
          <w:sz w:val="16"/>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6"/>
        </w:rPr>
        <w:t>The</w:t>
      </w:r>
      <w:r>
        <w:rPr>
          <w:color w:val="231F20"/>
        </w:rPr>
        <w:t xml:space="preserve"> </w:t>
      </w:r>
      <w:r>
        <w:rPr>
          <w:rFonts w:ascii="Times New Roman;serif" w:hAnsi="Times New Roman;serif"/>
          <w:b w:val="false"/>
          <w:color w:val="231F20"/>
          <w:sz w:val="16"/>
        </w:rPr>
        <w:t xml:space="preserve">Group entered into accounts receivable factoring arrangements with a finance company of the Geely Group, under which the Group received financing at a minimum interest rate of 5.0% per annum. During the six months ended </w:t>
      </w:r>
      <w:r>
        <w:rPr>
          <w:rFonts w:ascii="Times New Roman;serif" w:hAnsi="Times New Roman;serif"/>
          <w:b w:val="false"/>
          <w:color w:val="000000"/>
          <w:sz w:val="16"/>
        </w:rPr>
        <w:t>June 30,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2026</w:t>
      </w:r>
      <w:r>
        <w:rPr>
          <w:rFonts w:ascii="Times New Roman;serif" w:hAnsi="Times New Roman;serif"/>
          <w:b w:val="false"/>
          <w:color w:val="231F20"/>
          <w:sz w:val="16"/>
        </w:rPr>
        <w:t xml:space="preserve">, the Group received aggregate proceeds of US$20,666 and US$27,964, respectively, under these factoring arrangements, and repaid US$21,021 and US$28,292, respectively. The outstanding balances of US$28,292 and US$27,964 were included in amounts due to related parties 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respectively.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16"/>
        </w:rPr>
        <w:t>Interest expense on borrowings from related parties were US$965</w:t>
      </w:r>
      <w:r>
        <w:rPr>
          <w:color w:val="00000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 xml:space="preserve">US$1,882 </w:t>
      </w:r>
      <w:r>
        <w:rPr>
          <w:rFonts w:ascii="Times New Roman;serif" w:hAnsi="Times New Roman;serif"/>
          <w:b w:val="false"/>
          <w:color w:val="231F20"/>
          <w:sz w:val="16"/>
        </w:rPr>
        <w:t xml:space="preserve">for the six months ended </w:t>
      </w:r>
      <w:r>
        <w:rPr>
          <w:rFonts w:ascii="Times New Roman;serif" w:hAnsi="Times New Roman;serif"/>
          <w:b w:val="false"/>
          <w:color w:val="000000"/>
          <w:sz w:val="16"/>
        </w:rPr>
        <w:t>June 30, 2025 and 2026</w:t>
      </w:r>
      <w:r>
        <w:rPr>
          <w:rFonts w:ascii="Times New Roman;serif" w:hAnsi="Times New Roman;serif"/>
          <w:b w:val="false"/>
          <w:color w:val="231F20"/>
          <w:sz w:val="16"/>
        </w:rPr>
        <w:t>, respectively.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16"/>
        </w:rPr>
        <w:t xml:space="preserve">The interest payable on borrowings from related parties was included in the amounts due to related parties and was US$423 and US$435 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F-29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6"/>
        </w:rPr>
        <w:t>(v)</w:t>
      </w:r>
      <w:r>
        <w:rPr>
          <w:rFonts w:ascii="Times New Roman;serif" w:hAnsi="Times New Roman;serif"/>
          <w:b w:val="false"/>
          <w:color w:val="231F20"/>
          <w:sz w:val="16"/>
        </w:rPr>
        <w:t xml:space="preserve">In March 2026, the Group received additional US$28,958 from a customer – a subsidiary of Geely Group, as procurement support funds to secure supply chain continuity. 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xml:space="preserve">, amounts due to related parties included US$15,759 and US$44,717, respectively, in connection with such procurement support funds. Amid a global shortage of memory chips, during the six months ended </w:t>
      </w:r>
      <w:r>
        <w:rPr>
          <w:rFonts w:ascii="Times New Roman;serif" w:hAnsi="Times New Roman;serif"/>
          <w:b w:val="false"/>
          <w:color w:val="000000"/>
          <w:sz w:val="16"/>
        </w:rPr>
        <w:t>June 30, 2026</w:t>
      </w:r>
      <w:r>
        <w:rPr>
          <w:rFonts w:ascii="Times New Roman;serif" w:hAnsi="Times New Roman;serif"/>
          <w:b w:val="false"/>
          <w:color w:val="231F20"/>
          <w:sz w:val="16"/>
        </w:rPr>
        <w:t xml:space="preserve">, the Group made prepayments totaling US$33,147 to Xingji Meizu to secure the supply of critical chips and prevent delivery disruptions to Geely Group, and US$53,261 was settled in connection with the procurement of memory chips. The remaining balances were US$26,504 and US$6,390 included in amounts due from related parties as of </w:t>
      </w:r>
      <w:r>
        <w:rPr>
          <w:rFonts w:ascii="Times New Roman;serif" w:hAnsi="Times New Roman;serif"/>
          <w:b w:val="false"/>
          <w:color w:val="000000"/>
          <w:sz w:val="16"/>
        </w:rPr>
        <w:t>December 31, 2025</w:t>
      </w:r>
      <w:r>
        <w:rPr>
          <w:color w:val="231F20"/>
        </w:rPr>
        <w:t xml:space="preserve"> </w:t>
      </w:r>
      <w:r>
        <w:rPr>
          <w:rFonts w:ascii="Times New Roman;serif" w:hAnsi="Times New Roman;serif"/>
          <w:b w:val="false"/>
          <w:color w:val="231F20"/>
          <w:sz w:val="16"/>
        </w:rPr>
        <w:t xml:space="preserve">and </w:t>
      </w:r>
      <w:r>
        <w:rPr>
          <w:rFonts w:ascii="Times New Roman;serif" w:hAnsi="Times New Roman;serif"/>
          <w:b w:val="false"/>
          <w:color w:val="000000"/>
          <w:sz w:val="16"/>
        </w:rPr>
        <w:t>June 30, 2026</w:t>
      </w:r>
      <w:r>
        <w:rPr>
          <w:rFonts w:ascii="Times New Roman;serif" w:hAnsi="Times New Roman;serif"/>
          <w:b w:val="false"/>
          <w:color w:val="231F20"/>
          <w:sz w:val="16"/>
        </w:rPr>
        <w:t>, respectively.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6"/>
        </w:rPr>
        <w:t>(vi)</w:t>
      </w:r>
      <w:r>
        <w:rPr>
          <w:rFonts w:ascii="Times New Roman;serif" w:hAnsi="Times New Roman;serif"/>
          <w:b w:val="false"/>
          <w:color w:val="231F20"/>
          <w:sz w:val="16"/>
        </w:rPr>
        <w:t>On June 18, 2026, the Group entered into an agreement to acquire 100% equity interest of Hubei Qiguang. Under the acquisition agreement, the contractual purchase price for the acquisition is RMB 1.8 billion (approximately US$266 million). The Acquisition is structured as a carve-out from Xingji Meizu, and the acquired entity, Hubei Qiguang, is expected to obtain ownership of the entire Flyme business portfolio comprising Flyme Auto (an in-vehicle cockpit operating system) and the cross-device Flyme operating system.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16"/>
        </w:rPr>
        <w:t xml:space="preserve">As of </w:t>
      </w:r>
      <w:r>
        <w:rPr>
          <w:rFonts w:ascii="Times New Roman;serif" w:hAnsi="Times New Roman;serif"/>
          <w:b w:val="false"/>
          <w:color w:val="000000"/>
          <w:sz w:val="16"/>
        </w:rPr>
        <w:t>June 30, 2026</w:t>
      </w:r>
      <w:r>
        <w:rPr>
          <w:rFonts w:ascii="Times New Roman;serif" w:hAnsi="Times New Roman;serif"/>
          <w:b w:val="false"/>
          <w:color w:val="231F20"/>
          <w:sz w:val="16"/>
        </w:rPr>
        <w:t>, the Group has settled a portion of the contractual purchase price, amounting to RMB500 million (equivalent to US$73,712) as prepayment included in other non-current assets –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26. </w:t>
      </w:r>
      <w:r>
        <w:rPr>
          <w:rFonts w:ascii="Times New Roman;serif" w:hAnsi="Times New Roman;serif"/>
          <w:b/>
          <w:color w:val="000000"/>
          <w:sz w:val="20"/>
          <w:shd w:fill="FFFFFF" w:val="clear"/>
        </w:rPr>
        <w:t>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is comprised of a single reportable segment organized around automotive technology and connectivity services for smart vehicles. The Group generates revenues from its technology products and services using its capabilities in delivering turnkey solutions for next-generation smart vehicles, system on a chip, central computing platforms and software. The Group derives its revenue primarily in PRC and manages its activities on a consolidated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uses the management approach in determining its operating segments. The Group’s chief operating decision maker (“CODM”) is the Chief Executive Officer, who reviews consolidated results when making decisions about allocating resources and assessing performance of the Group. For the purpose of internal reporting and management’s operation review, the Group’s chief executive officer does not segregate the Group’s business by product or service.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Group’s long-lived assets are substantially all located in the PRC and substantially all the Group’s revenues are derived from within the PRC, therefore, no geographical information is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for its single reportable segment based on total revenues, gross profit, operating expenses excluding share-based compensation expense and loss from operation.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with respect to the Group’s single reportable segment:</w:t>
      </w:r>
    </w:p>
    <w:p>
      <w:pPr>
        <w:pStyle w:val="TextBody"/>
        <w:bidi w:val="0"/>
        <w:spacing w:before="0" w:after="0"/>
        <w:jc w:val="left"/>
        <w:rPr/>
      </w:pPr>
      <w:r>
        <w:rPr/>
      </w:r>
    </w:p>
    <w:tbl>
      <w:tblPr>
        <w:tblW w:w="8730" w:type="dxa"/>
        <w:jc w:val="left"/>
        <w:tblInd w:w="0" w:type="dxa"/>
        <w:tblLayout w:type="fixed"/>
        <w:tblCellMar>
          <w:top w:w="28" w:type="dxa"/>
          <w:left w:w="28" w:type="dxa"/>
          <w:bottom w:w="28" w:type="dxa"/>
          <w:right w:w="28" w:type="dxa"/>
        </w:tblCellMar>
      </w:tblPr>
      <w:tblGrid>
        <w:gridCol w:w="2003"/>
        <w:gridCol w:w="1761"/>
        <w:gridCol w:w="1770"/>
        <w:gridCol w:w="557"/>
        <w:gridCol w:w="343"/>
        <w:gridCol w:w="258"/>
        <w:gridCol w:w="258"/>
        <w:gridCol w:w="258"/>
        <w:gridCol w:w="258"/>
        <w:gridCol w:w="557"/>
        <w:gridCol w:w="343"/>
        <w:gridCol w:w="364"/>
      </w:tblGrid>
      <w:tr>
        <w:trPr/>
        <w:tc>
          <w:tcPr>
            <w:tcW w:w="20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323,281 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356,682 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(273,280)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(283,969)</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50,001</w:t>
            </w: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72,713</w:t>
            </w: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 excluding share-based compensation expense</w:t>
            </w:r>
            <w:r>
              <w:rPr>
                <w:rFonts w:ascii="Times New Roman;serif" w:hAnsi="Times New Roman;serif"/>
                <w:b w:val="false"/>
                <w:color w:val="000000"/>
                <w:sz w:val="13"/>
              </w:rPr>
              <w:t>1</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(108,649)</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(90,416)</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(115,153)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(91,883)</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(65,152)</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(19,170)</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investments,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(expenses)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(70,587)</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(21,960)</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(72,639)</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(23,001)</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measure is not in accordance with, or an alternative to GAAP. The Group excludes share-based compensation expense since it is non-cash in nature and its valuation and measurement depend on factors such as volatility not reflective of the Group’s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F-30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or otherwise noted)</w:t>
      </w:r>
    </w:p>
    <w:p>
      <w:pPr>
        <w:pStyle w:val="TextBody"/>
        <w:bidi w:val="0"/>
        <w:spacing w:before="0" w:after="0"/>
        <w:jc w:val="left"/>
        <w:rPr/>
      </w:pPr>
      <w:r>
        <w:rPr/>
      </w:r>
    </w:p>
    <w:p>
      <w:pPr>
        <w:pStyle w:val="TextBody"/>
        <w:bidi w:val="0"/>
        <w:spacing w:lineRule="auto" w:line="26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Major Customer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Revenues from a group of customer entities under common control of the ultimate controlling shareholder in the segment represented US$279,417, US$309,220, or 86.4%, and 86.7%</w:t>
      </w:r>
      <w:r>
        <w:rPr>
          <w:color w:val="000000"/>
        </w:rPr>
        <w:t xml:space="preserve"> </w:t>
      </w:r>
      <w:r>
        <w:rPr>
          <w:rFonts w:ascii="Times New Roman;serif" w:hAnsi="Times New Roman;serif"/>
          <w:b w:val="false"/>
          <w:color w:val="000000"/>
          <w:sz w:val="20"/>
        </w:rPr>
        <w:t>for the six months ended June 30, 2025 and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27. </w:t>
      </w:r>
      <w:r>
        <w:rPr>
          <w:rFonts w:ascii="Times New Roman;serif" w:hAnsi="Times New Roman;serif"/>
          <w:b/>
          <w:color w:val="000000"/>
          <w:sz w:val="20"/>
          <w:shd w:fill="FFFFFF" w:val="clear"/>
        </w:rPr>
        <w:t>Subsequent event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2026, pursuant to the acquisition mentioned in Note 25(vi), the Group settled the remaining contractual purchase price.</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F-31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17103</Words>
  <Characters>96498</Characters>
  <CharactersWithSpaces>112303</CharactersWithSpaces>
  <Paragraphs>2694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