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left="560"/>
        <w:spacing w:after="0" w:line="27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9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 the month of August 2025</w:t>
      </w:r>
    </w:p>
    <w:p>
      <w:pPr>
        <w:spacing w:after="0" w:line="27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Commission File Number: 001-41576</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ECARX Holdings Inc.</w:t>
      </w:r>
    </w:p>
    <w:p>
      <w:pPr>
        <w:spacing w:after="0" w:line="5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12/F, Tower 2, Park Place</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88 Baise Road</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Xuhui District, Shanghai 200231</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60" w:lineRule="exact"/>
        <w:rPr>
          <w:sz w:val="24"/>
          <w:szCs w:val="24"/>
          <w:color w:val="auto"/>
        </w:rPr>
      </w:pPr>
    </w:p>
    <w:p>
      <w:pPr>
        <w:jc w:val="center"/>
        <w:ind w:right="-219"/>
        <w:spacing w:after="0"/>
        <w:tabs>
          <w:tab w:leader="none" w:pos="30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x</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164828.02-BEISR01A - MSW</w:t>
      </w:r>
    </w:p>
    <w:p>
      <w:pPr>
        <w:sectPr>
          <w:pgSz w:w="11900" w:h="16838" w:orient="portrait"/>
          <w:cols w:equalWidth="0" w:num="1">
            <w:col w:w="11020"/>
          </w:cols>
          <w:pgMar w:left="320" w:top="1440" w:right="559" w:bottom="1440" w:gutter="0" w:footer="0" w:header="0"/>
        </w:sectPr>
      </w:pPr>
    </w:p>
    <w:bookmarkStart w:id="1" w:name="page2"/>
    <w:bookmarkEnd w:id="1"/>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This current report on Form 6-K, including the exhibit hereto, is incorporated by reference into the post-effective amendment No. 2 to the registration statement on Form F-1 on Form F-3 (File No. 333-271861) and shall be a part of such registration statement from the date on which this current report is furnished, to the extent not superseded by documents or reports subsequently filed or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164828.02-BEISR01A - MSW</w:t>
      </w:r>
    </w:p>
    <w:p>
      <w:pPr>
        <w:sectPr>
          <w:pgSz w:w="11900" w:h="16838" w:orient="portrait"/>
          <w:cols w:equalWidth="0" w:num="1">
            <w:col w:w="11220"/>
          </w:cols>
          <w:pgMar w:left="320" w:top="1440" w:right="359" w:bottom="1440" w:gutter="0" w:footer="0" w:header="0"/>
        </w:sectPr>
      </w:pPr>
    </w:p>
    <w:bookmarkStart w:id="2" w:name="page3"/>
    <w:bookmarkEnd w:id="2"/>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INDEX</w:t>
            </w:r>
          </w:p>
        </w:tc>
        <w:tc>
          <w:tcPr>
            <w:tcW w:w="4060" w:type="dxa"/>
            <w:vAlign w:val="bottom"/>
          </w:tcPr>
          <w:p>
            <w:pPr>
              <w:spacing w:after="0"/>
              <w:rPr>
                <w:sz w:val="24"/>
                <w:szCs w:val="24"/>
                <w:color w:val="auto"/>
              </w:rPr>
            </w:pPr>
          </w:p>
        </w:tc>
      </w:tr>
      <w:tr>
        <w:trPr>
          <w:trHeight w:val="575"/>
        </w:trPr>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940" w:type="dxa"/>
            <w:vAlign w:val="bottom"/>
            <w:tcBorders>
              <w:bottom w:val="single" w:sz="8" w:color="auto"/>
            </w:tcBorders>
            <w:gridSpan w:val="2"/>
          </w:tcPr>
          <w:p>
            <w:pPr>
              <w:ind w:left="400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500" w:type="dxa"/>
            <w:vAlign w:val="bottom"/>
            <w:gridSpan w:val="2"/>
          </w:tcPr>
          <w:p>
            <w:pPr>
              <w:jc w:val="right"/>
              <w:spacing w:after="0" w:line="223" w:lineRule="exact"/>
              <w:rPr>
                <w:sz w:val="20"/>
                <w:szCs w:val="20"/>
                <w:color w:val="auto"/>
              </w:rPr>
            </w:pPr>
            <w:r>
              <w:rPr>
                <w:rFonts w:ascii="Arial" w:cs="Arial" w:eastAsia="Arial" w:hAnsi="Arial"/>
                <w:sz w:val="22"/>
                <w:szCs w:val="22"/>
                <w:color w:val="0000FF"/>
              </w:rPr>
              <w:t>99.</w:t>
            </w:r>
            <w:r>
              <w:rPr>
                <w:rFonts w:ascii="Arial" w:cs="Arial" w:eastAsia="Arial" w:hAnsi="Arial"/>
                <w:sz w:val="22"/>
                <w:szCs w:val="22"/>
                <w:u w:val="single" w:color="auto"/>
                <w:color w:val="0000FF"/>
              </w:rPr>
              <w:t>1</w:t>
            </w:r>
          </w:p>
        </w:tc>
        <w:tc>
          <w:tcPr>
            <w:tcW w:w="1100" w:type="dxa"/>
            <w:vAlign w:val="bottom"/>
          </w:tcPr>
          <w:p>
            <w:pPr>
              <w:spacing w:after="0"/>
              <w:rPr>
                <w:sz w:val="21"/>
                <w:szCs w:val="21"/>
                <w:color w:val="auto"/>
              </w:rPr>
            </w:pPr>
          </w:p>
        </w:tc>
        <w:tc>
          <w:tcPr>
            <w:tcW w:w="48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Press Release — ECARX Announces Second Quarter</w:t>
            </w:r>
          </w:p>
        </w:tc>
        <w:tc>
          <w:tcPr>
            <w:tcW w:w="406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rPr>
              <w:t>2025 Unaudited Financial Results</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164828.02-BEISR01A - MSW</w:t>
      </w:r>
    </w:p>
    <w:p>
      <w:pPr>
        <w:sectPr>
          <w:pgSz w:w="11900" w:h="16838" w:orient="portrait"/>
          <w:cols w:equalWidth="0" w:num="1">
            <w:col w:w="10540"/>
          </w:cols>
          <w:pgMar w:left="320" w:top="1440" w:right="1039" w:bottom="1440" w:gutter="0" w:footer="0" w:header="0"/>
        </w:sectPr>
      </w:pPr>
    </w:p>
    <w:bookmarkStart w:id="3" w:name="page4"/>
    <w:bookmarkEnd w:id="3"/>
    <w:p>
      <w:pPr>
        <w:spacing w:after="0" w:line="15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ECARX Holdings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3340" w:type="dxa"/>
        <w:tblCellMar>
          <w:top w:w="0" w:type="dxa"/>
          <w:left w:w="0" w:type="dxa"/>
          <w:bottom w:w="0" w:type="dxa"/>
          <w:right w:w="0" w:type="dxa"/>
        </w:tblCellMar>
      </w:tblP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3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Jing (Phil) Zhou</w:t>
            </w:r>
          </w:p>
        </w:tc>
      </w:tr>
      <w:tr>
        <w:trPr>
          <w:trHeight w:val="29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Jing (Phil) Zhou</w:t>
            </w:r>
          </w:p>
        </w:tc>
      </w:tr>
      <w:tr>
        <w:trPr>
          <w:trHeight w:val="31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August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164828.02-BEISR01A - MSW</w:t>
      </w:r>
    </w:p>
    <w:p>
      <w:pPr>
        <w:sectPr>
          <w:pgSz w:w="11900" w:h="16838" w:orient="portrait"/>
          <w:cols w:equalWidth="0" w:num="1">
            <w:col w:w="10660"/>
          </w:cols>
          <w:pgMar w:left="320" w:top="1440" w:right="91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ECARX Announces Second Quarter 2025 Unaudited Financial Results</w:t>
      </w:r>
    </w:p>
    <w:p>
      <w:pPr>
        <w:spacing w:after="0" w:line="21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Shanghai, China, August 26, 2025 </w:t>
      </w:r>
      <w:r>
        <w:rPr>
          <w:rFonts w:ascii="Times New Roman" w:cs="Times New Roman" w:eastAsia="Times New Roman" w:hAnsi="Times New Roman"/>
          <w:sz w:val="18"/>
          <w:szCs w:val="18"/>
          <w:color w:val="auto"/>
        </w:rPr>
        <w:t>— ECARX Holdings Inc. (Nasdaq: ECX) (“ECARX” or the “Company”), a global mobility tech provider,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unaudited financial results for the quarter ended June 30, 2025.</w:t>
      </w:r>
    </w:p>
    <w:p>
      <w:pPr>
        <w:spacing w:after="0" w:line="172"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“The strong momentum we built in 2024 and early 2025 continued in the second quarter,” said Ziyu Shen, ECARX Chairman and CEO. “Revenue was US$155.6 million, reflecting the impact of typical seasonal headwinds and the timing of certain contracts, while the disciplined execution of our lean operating strategy reduced operating expenses by 20% to US$57.2 million. With a robust pipeline of new projects expected to launch over the next two quarters, we remain firmly on track to hit EBITDA breakeven in each of the remaining quarters and full-year 2025, and deliver close to 20% revenue growth for the year.</w:t>
      </w:r>
    </w:p>
    <w:p>
      <w:pPr>
        <w:spacing w:after="0" w:line="2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Shipments of Antora® series solutions surged 112% year-over-year to 135,000 units during the quarter, underpinned by sustained demand across the Geely portfolio, especially the Galaxy brand, which surpassed 1 million cumulative sales—the fastest NEV brand to achieve this milestone—a strong indicator of its future growth momentum. Beyond Geely, we are expanding our footprint by collaborating with a Chinese local partner to supply to a top-five automaker in China and developing a next-generation intelligent cockpit operating system for a premium global brand. Internationally, we have secured contract wins with a total lifetime revenue of over $1 billion. These expanding partnerships demonstrate the strength and scalability of our technology portfolio and how they can drive sales for automakers. In addition, the selection of our lidar technology by a leading developer of robotic lawn mowers during the quarter marks the start of the monetization of our R&amp;D initiatives beyond the automotive sector.</w:t>
      </w: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 central pillar of our global expansion is our focus on setting new benchmarks for safety, security, and performance for products that can be quickly deployed across multiple applications and markets. Following our first project award from Volkswagen Group in March 2025, I was honored to accept Volkswagen Brazil’s Technical Development &amp; Innovation award on behalf of ECARX at their ‘the One’ partnership celebration earlier this month— recognition that underscores their confidence in our innovation and the growing impact of our solutions globally. With our global headquarters opening in Singapore later this year, we are accelerating R&amp;D collaboration and supply chain optimization to better serve automakers across global markets. Through operational discipline, an expanding pipeline of projects, growing global presence, diversified applications, and investments in technology and infrastructure, we remain well-positioned to drive the industry’s transition to software-defined intelligent vehicles.”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reporting currency:</w:t>
      </w:r>
    </w:p>
    <w:p>
      <w:pPr>
        <w:spacing w:after="0" w:line="121"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7"/>
          <w:szCs w:val="17"/>
          <w:color w:val="auto"/>
        </w:rPr>
        <w:t>During this quarter, the Company decided to change its reporting currency from Chinese Renminbi (“RMB”) to U.S. Dollars (“USD” or “US$”) This change was made as a result of the Company’s assessment that the change will help provide a clearer understanding of the Company’s financial performance to investors and improve comparability of our performance to peers, particularly due to the Company’s ongoing international expansion.</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change in the reporting currency is a voluntary change and is accounted for retrospectively. The unaudited condensed consolidated financial statements appended herewith for all periods presented have been translated into the new reporting currency as if the Company always used US$ as the reporting currency.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US$155.6 million, down 10% year-over-year (“YoY”).</w:t>
      </w:r>
    </w:p>
    <w:p>
      <w:pPr>
        <w:spacing w:after="0" w:line="144" w:lineRule="exact"/>
        <w:rPr>
          <w:rFonts w:ascii="Times New Roman" w:cs="Times New Roman" w:eastAsia="Times New Roman" w:hAnsi="Times New Roman"/>
          <w:sz w:val="18"/>
          <w:szCs w:val="18"/>
          <w:color w:val="auto"/>
        </w:rPr>
      </w:pPr>
    </w:p>
    <w:p>
      <w:pPr>
        <w:ind w:left="1300" w:right="100" w:hanging="320"/>
        <w:spacing w:after="0" w:line="221" w:lineRule="auto"/>
        <w:tabs>
          <w:tab w:leader="none" w:pos="1296" w:val="left"/>
        </w:tabs>
        <w:numPr>
          <w:ilvl w:val="1"/>
          <w:numId w:val="1"/>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Sales of goods revenue </w:t>
      </w:r>
      <w:r>
        <w:rPr>
          <w:rFonts w:ascii="Times New Roman" w:cs="Times New Roman" w:eastAsia="Times New Roman" w:hAnsi="Times New Roman"/>
          <w:sz w:val="18"/>
          <w:szCs w:val="18"/>
          <w:color w:val="auto"/>
        </w:rPr>
        <w:t>was US$131.2 million, up 1% YoY. The growth in sales of goods revenue was mainly due to (i) a US$31.2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increase attributable to the higher volume of automotive computing platform sold and (ii) a US$0.8 million increase attributable to the higher volume of SoC core modules sold, partially offset by a US$30.8 million decrease attributable to lower average selling price of automotive computing platform.</w:t>
      </w:r>
    </w:p>
    <w:p>
      <w:pPr>
        <w:spacing w:after="0" w:line="72" w:lineRule="exact"/>
        <w:rPr>
          <w:rFonts w:ascii="Arial" w:cs="Arial" w:eastAsia="Arial" w:hAnsi="Arial"/>
          <w:sz w:val="22"/>
          <w:szCs w:val="22"/>
          <w:color w:val="auto"/>
        </w:rPr>
      </w:pPr>
    </w:p>
    <w:p>
      <w:pPr>
        <w:ind w:left="1300" w:right="80" w:hanging="320"/>
        <w:spacing w:after="0" w:line="252" w:lineRule="auto"/>
        <w:tabs>
          <w:tab w:leader="none" w:pos="129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Software license revenue </w:t>
      </w:r>
      <w:r>
        <w:rPr>
          <w:rFonts w:ascii="Times New Roman" w:cs="Times New Roman" w:eastAsia="Times New Roman" w:hAnsi="Times New Roman"/>
          <w:sz w:val="18"/>
          <w:szCs w:val="18"/>
          <w:color w:val="auto"/>
        </w:rPr>
        <w:t>was US$1.2 million, down 85% YoY, primarily due to (i) a decline in intellectual property licenses revenue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US$3.9 million, and (ii) a decline in per-vehicle software license revenue of US$2.7 million. Intellectual property licenses contributed US$3.9 million to our total revenue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40"/>
          </w:cols>
          <w:pgMar w:left="320" w:top="1143" w:right="339" w:bottom="1440" w:gutter="0" w:footer="0" w:header="0"/>
        </w:sectPr>
      </w:pPr>
    </w:p>
    <w:bookmarkStart w:id="5" w:name="page6"/>
    <w:bookmarkEnd w:id="5"/>
    <w:p>
      <w:pPr>
        <w:ind w:left="1300" w:right="380" w:hanging="320"/>
        <w:spacing w:after="0" w:line="246"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 revenue </w:t>
      </w:r>
      <w:r>
        <w:rPr>
          <w:rFonts w:ascii="Times New Roman" w:cs="Times New Roman" w:eastAsia="Times New Roman" w:hAnsi="Times New Roman"/>
          <w:sz w:val="18"/>
          <w:szCs w:val="18"/>
          <w:color w:val="auto"/>
        </w:rPr>
        <w:t>was US$23.2 million, down 34% YoY, mainly due to a decrease in revenue from design and development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for automotive computing platforms compared to the same period last year, partially offset by the growth in overseas connectivity service revenue. Revenue from design and development service contracts decreased by US$14.2 million while overseas connectivity service revenue increased by US$2.6 million.</w:t>
      </w:r>
    </w:p>
    <w:p>
      <w:pPr>
        <w:spacing w:after="0" w:line="244" w:lineRule="exact"/>
        <w:rPr>
          <w:rFonts w:ascii="Times New Roman" w:cs="Times New Roman" w:eastAsia="Times New Roman" w:hAnsi="Times New Roman"/>
          <w:sz w:val="18"/>
          <w:szCs w:val="18"/>
          <w:color w:val="auto"/>
        </w:rPr>
      </w:pPr>
    </w:p>
    <w:p>
      <w:pPr>
        <w:ind w:left="660" w:right="140" w:hanging="328"/>
        <w:spacing w:after="0" w:line="230"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Total cost of revenue </w:t>
      </w:r>
      <w:r>
        <w:rPr>
          <w:rFonts w:ascii="Times New Roman" w:cs="Times New Roman" w:eastAsia="Times New Roman" w:hAnsi="Times New Roman"/>
          <w:sz w:val="18"/>
          <w:szCs w:val="18"/>
          <w:color w:val="auto"/>
        </w:rPr>
        <w:t>was US$138.8 million, up 4% YoY, primarily driven by an increase in the sales volume of automotive computing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and SoC core modules.</w:t>
      </w:r>
    </w:p>
    <w:p>
      <w:pPr>
        <w:spacing w:after="0" w:line="112" w:lineRule="exact"/>
        <w:rPr>
          <w:rFonts w:ascii="Arial" w:cs="Arial" w:eastAsia="Arial" w:hAnsi="Arial"/>
          <w:sz w:val="22"/>
          <w:szCs w:val="22"/>
          <w:color w:val="auto"/>
        </w:rPr>
      </w:pPr>
    </w:p>
    <w:p>
      <w:pPr>
        <w:ind w:left="660" w:right="340" w:hanging="328"/>
        <w:spacing w:after="0" w:line="226"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US$16.8 million, down 58% YoY, which resulted in a gross margin of 11%. The decrease in gross margin (from 23%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2024) was principally attributed to strategic pricing initiatives taken for purposes of automotive computing platform market expansion, combined with a shift in overall revenue mix compared to the same period last year.</w:t>
      </w:r>
    </w:p>
    <w:p>
      <w:pPr>
        <w:spacing w:after="0" w:line="73" w:lineRule="exact"/>
        <w:rPr>
          <w:rFonts w:ascii="Arial" w:cs="Arial" w:eastAsia="Arial" w:hAnsi="Arial"/>
          <w:sz w:val="22"/>
          <w:szCs w:val="22"/>
          <w:color w:val="auto"/>
        </w:rPr>
      </w:pPr>
    </w:p>
    <w:p>
      <w:pPr>
        <w:ind w:left="660" w:right="220" w:hanging="328"/>
        <w:spacing w:after="0" w:line="27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US$33.8 million, down 19% YoY, due to strategic resource prioritization that enhanced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efficiencies and captured synergies from R&amp;D integration.</w:t>
      </w:r>
    </w:p>
    <w:p>
      <w:pPr>
        <w:spacing w:after="0" w:line="86" w:lineRule="exact"/>
        <w:rPr>
          <w:rFonts w:ascii="Times New Roman" w:cs="Times New Roman" w:eastAsia="Times New Roman" w:hAnsi="Times New Roman"/>
          <w:sz w:val="18"/>
          <w:szCs w:val="18"/>
          <w:color w:val="auto"/>
        </w:rPr>
      </w:pPr>
    </w:p>
    <w:p>
      <w:pPr>
        <w:ind w:left="660" w:right="460" w:hanging="328"/>
        <w:spacing w:after="0" w:line="230"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Selling, general and administrative expenses and others, net </w:t>
      </w:r>
      <w:r>
        <w:rPr>
          <w:rFonts w:ascii="Times New Roman" w:cs="Times New Roman" w:eastAsia="Times New Roman" w:hAnsi="Times New Roman"/>
          <w:sz w:val="18"/>
          <w:szCs w:val="18"/>
          <w:color w:val="auto"/>
        </w:rPr>
        <w:t>were US$23.4 million, down 22% YoY, largely driven by streamlined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and lower share-based compensation expense in the current quarter.</w:t>
      </w:r>
    </w:p>
    <w:p>
      <w:pPr>
        <w:spacing w:after="0" w:line="112"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2"/>
        </w:numPr>
        <w:rPr>
          <w:rFonts w:ascii="Arial" w:cs="Arial" w:eastAsia="Arial" w:hAnsi="Arial"/>
          <w:sz w:val="21"/>
          <w:szCs w:val="21"/>
          <w:color w:val="auto"/>
        </w:rPr>
      </w:pPr>
      <w:r>
        <w:rPr>
          <w:rFonts w:ascii="Times New Roman" w:cs="Times New Roman" w:eastAsia="Times New Roman" w:hAnsi="Times New Roman"/>
          <w:sz w:val="17"/>
          <w:szCs w:val="17"/>
          <w:b w:val="1"/>
          <w:bCs w:val="1"/>
          <w:color w:val="auto"/>
        </w:rPr>
        <w:t xml:space="preserve">Net loss </w:t>
      </w:r>
      <w:r>
        <w:rPr>
          <w:rFonts w:ascii="Times New Roman" w:cs="Times New Roman" w:eastAsia="Times New Roman" w:hAnsi="Times New Roman"/>
          <w:sz w:val="17"/>
          <w:szCs w:val="17"/>
          <w:color w:val="auto"/>
        </w:rPr>
        <w:t>was US$45.4 million, compared with US$42.1 million during the same period last year, primarily attributable to a reduction in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margin and a decrease in software license and service revenue, partially offset by a lower level of operating expenses and equity investment losses.</w:t>
      </w:r>
    </w:p>
    <w:p>
      <w:pPr>
        <w:spacing w:after="0" w:line="68" w:lineRule="exact"/>
        <w:rPr>
          <w:rFonts w:ascii="Arial" w:cs="Arial" w:eastAsia="Arial" w:hAnsi="Arial"/>
          <w:sz w:val="21"/>
          <w:szCs w:val="21"/>
          <w:color w:val="auto"/>
        </w:rPr>
      </w:pPr>
    </w:p>
    <w:p>
      <w:pPr>
        <w:ind w:left="660" w:right="140" w:hanging="328"/>
        <w:spacing w:after="0" w:line="27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(non-GAAP) loss was US$29.7 million, compared with adjusted EBITDA (non-GAAP) loss of US$28.7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last year. See “Non-GAAP Financial Measure.”</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cash </w:t>
      </w:r>
      <w:r>
        <w:rPr>
          <w:rFonts w:ascii="Times New Roman" w:cs="Times New Roman" w:eastAsia="Times New Roman" w:hAnsi="Times New Roman"/>
          <w:sz w:val="18"/>
          <w:szCs w:val="18"/>
          <w:color w:val="auto"/>
        </w:rPr>
        <w:t>as of June 30, 2025 was US$99.2 million.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 Highlights:</w:t>
      </w:r>
    </w:p>
    <w:p>
      <w:pPr>
        <w:spacing w:after="0" w:line="17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Expanding Global Footprint and Partnership</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9.3 million vehicles on the road with ECARX products as of June 30, 2025</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of Antora® series solution reached 135 thousand units, a 112% increase year-over-year</w:t>
      </w:r>
    </w:p>
    <w:p>
      <w:pPr>
        <w:spacing w:after="0" w:line="9" w:lineRule="exact"/>
        <w:rPr>
          <w:rFonts w:ascii="Times New Roman" w:cs="Times New Roman" w:eastAsia="Times New Roman" w:hAnsi="Times New Roman"/>
          <w:sz w:val="18"/>
          <w:szCs w:val="18"/>
          <w:color w:val="auto"/>
        </w:rPr>
      </w:pPr>
    </w:p>
    <w:p>
      <w:pPr>
        <w:ind w:left="1300" w:right="280" w:hanging="320"/>
        <w:spacing w:after="0" w:line="250"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a Chinese local partner to supply to one of China’s top five automakers for its next-generation international model, with shipments expected to begin in 2026</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next-generation customized intelligent cockpit operating system based on Flyme Auto for a premium global automotive brand</w:t>
      </w:r>
    </w:p>
    <w:p>
      <w:pPr>
        <w:spacing w:after="0" w:line="9" w:lineRule="exact"/>
        <w:rPr>
          <w:rFonts w:ascii="Times New Roman" w:cs="Times New Roman" w:eastAsia="Times New Roman" w:hAnsi="Times New Roman"/>
          <w:sz w:val="18"/>
          <w:szCs w:val="18"/>
          <w:color w:val="auto"/>
        </w:rPr>
      </w:pPr>
    </w:p>
    <w:p>
      <w:pPr>
        <w:ind w:left="1300" w:right="580" w:hanging="320"/>
        <w:spacing w:after="0" w:line="250"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first non-automotive customer for proprietary solid-state 3D lidar solution marking initial expansion into the high-growth robotics and AI applications market, with global mass production planned for 2026</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New global headquarters in Singapore, slated to become operational in the second half of 2025, will function as a critical hub for global</w:t>
      </w:r>
    </w:p>
    <w:p>
      <w:pPr>
        <w:ind w:left="1300"/>
        <w:spacing w:after="0" w:line="236" w:lineRule="auto"/>
        <w:rPr>
          <w:sz w:val="20"/>
          <w:szCs w:val="20"/>
          <w:color w:val="auto"/>
        </w:rPr>
      </w:pPr>
      <w:r>
        <w:rPr>
          <w:rFonts w:ascii="Times New Roman" w:cs="Times New Roman" w:eastAsia="Times New Roman" w:hAnsi="Times New Roman"/>
          <w:sz w:val="18"/>
          <w:szCs w:val="18"/>
          <w:color w:val="auto"/>
        </w:rPr>
        <w:t>IP, R&amp;D and supply chain to better serve automakers across global markets</w:t>
      </w:r>
    </w:p>
    <w:p>
      <w:pPr>
        <w:ind w:left="1300" w:right="160" w:hanging="323"/>
        <w:spacing w:after="0" w:line="249" w:lineRule="auto"/>
        <w:tabs>
          <w:tab w:leader="none" w:pos="1280" w:val="left"/>
        </w:tabs>
        <w:rPr>
          <w:sz w:val="20"/>
          <w:szCs w:val="20"/>
          <w:color w:val="auto"/>
        </w:rPr>
      </w:pPr>
      <w:r>
        <w:rPr>
          <w:rFonts w:ascii="Times New Roman" w:cs="Times New Roman" w:eastAsia="Times New Roman" w:hAnsi="Times New Roman"/>
          <w:sz w:val="18"/>
          <w:szCs w:val="18"/>
          <w:color w:val="auto"/>
        </w:rPr>
        <w:t>◦</w:t>
        <w:tab/>
        <w:t>Deepened partnerships with Samsung to accelerate the commercialization of cutting-edge automotive intelligence technologies across automotive intelligence, terminal devices, and smart hardware</w:t>
      </w:r>
    </w:p>
    <w:p>
      <w:pPr>
        <w:spacing w:after="0" w:line="1" w:lineRule="exact"/>
        <w:rPr>
          <w:sz w:val="20"/>
          <w:szCs w:val="20"/>
          <w:color w:val="auto"/>
        </w:rPr>
      </w:pPr>
    </w:p>
    <w:p>
      <w:pPr>
        <w:ind w:left="1300" w:right="160" w:hanging="320"/>
        <w:spacing w:after="0" w:line="260"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Formed strategic partnership with Monolithic Power Systems to collaborate on automotive intelligence, robotics, and AI applications to establish a global supply chain and intelligent industrial ecosystem spanning system integration, platform adaptation, and delivery</w:t>
      </w:r>
    </w:p>
    <w:p>
      <w:pPr>
        <w:spacing w:after="0" w:line="1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Technological Advancements and Vehicle Launches</w:t>
      </w:r>
    </w:p>
    <w:p>
      <w:pPr>
        <w:spacing w:after="0" w:line="121" w:lineRule="exact"/>
        <w:rPr>
          <w:rFonts w:ascii="Times New Roman" w:cs="Times New Roman" w:eastAsia="Times New Roman" w:hAnsi="Times New Roman"/>
          <w:sz w:val="18"/>
          <w:szCs w:val="18"/>
          <w:b w:val="1"/>
          <w:bCs w:val="1"/>
          <w:color w:val="auto"/>
        </w:rPr>
      </w:pPr>
    </w:p>
    <w:p>
      <w:pPr>
        <w:ind w:left="1300" w:hanging="320"/>
        <w:spacing w:after="0" w:line="257"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launch of pre-sale for Lynk &amp; Co 10 EM-P and the flagship Galaxy M9, the first vehicle programs to integrate Pikes® computing platform, ECARX Cloudpeak® cross-domain software stack and Flyme Auto 2, which immediately had an outsized impact by setting new standards for AI-powered intelligent cockpits</w:t>
      </w:r>
    </w:p>
    <w:p>
      <w:pPr>
        <w:spacing w:after="0" w:line="1" w:lineRule="exact"/>
        <w:rPr>
          <w:rFonts w:ascii="Times New Roman" w:cs="Times New Roman" w:eastAsia="Times New Roman" w:hAnsi="Times New Roman"/>
          <w:sz w:val="18"/>
          <w:szCs w:val="18"/>
          <w:color w:val="auto"/>
        </w:rPr>
      </w:pPr>
    </w:p>
    <w:p>
      <w:pPr>
        <w:ind w:left="1300" w:right="100" w:hanging="320"/>
        <w:spacing w:after="0" w:line="260"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Powered the launch of Galaxy A7, integrated with the AI Enhanced Antora® 1000 computing platform, ECARX Cloudpeak® cross-domain software stack and Flyme Auto OS, quickly becoming the best-selling hybrid mid-size sedan within the first week on the market</w:t>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40"/>
          </w:cols>
          <w:pgMar w:left="320" w:top="914" w:right="339" w:bottom="1440" w:gutter="0" w:footer="0" w:header="0"/>
        </w:sectPr>
      </w:pPr>
    </w:p>
    <w:bookmarkStart w:id="6" w:name="page7"/>
    <w:bookmarkEnd w:id="6"/>
    <w:p>
      <w:pPr>
        <w:ind w:left="1300" w:hanging="320"/>
        <w:spacing w:after="0" w:line="261"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the launch of Geely Galaxy EX5 across 26 countries, which quickly became one of the top selling electric vehicles in Australia in just three months and the top selling vehicle in Malaysia</w:t>
      </w:r>
    </w:p>
    <w:p>
      <w:pPr>
        <w:ind w:left="1300" w:right="120" w:hanging="320"/>
        <w:spacing w:after="0" w:line="250"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Powered the launch of the fourth-generation Boyue L, equipped with the Antora® 1000 computing platform, Cloudpeak® cross-domain software stack, and Flyme Auto, delivering a modern SUV experience with advanced AI integration</w:t>
      </w:r>
    </w:p>
    <w:p>
      <w:pPr>
        <w:ind w:left="1300" w:right="280" w:hanging="320"/>
        <w:spacing w:after="0" w:line="250"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Technical Development &amp; Innovation award at Volkswagen Brazil’s “the One” partnership celebration in Rio de Janeiro, Brazil</w:t>
      </w:r>
    </w:p>
    <w:p>
      <w:pPr>
        <w:ind w:left="1300" w:right="600" w:hanging="320"/>
        <w:spacing w:after="0" w:line="250"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a Google Automotive Services integration white paper, showcasing best practices and proprietary tools used to cut GAS certification time by over 50%</w:t>
      </w:r>
    </w:p>
    <w:p>
      <w:pPr>
        <w:ind w:left="1300" w:right="440" w:hanging="320"/>
        <w:spacing w:after="0" w:line="250"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system software development for the “5-in-1” solution based on the Antora® 1000 SPB and secured its first commercial project win</w:t>
      </w: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ECARX’s Fuyang facility now operates at 80% utilization, attaining an annual capacity of 1 million units ahead of schedule</w:t>
      </w:r>
    </w:p>
    <w:p>
      <w:pPr>
        <w:spacing w:after="0" w:line="206" w:lineRule="exact"/>
        <w:rPr>
          <w:rFonts w:ascii="Times New Roman" w:cs="Times New Roman" w:eastAsia="Times New Roman" w:hAnsi="Times New Roman"/>
          <w:sz w:val="18"/>
          <w:szCs w:val="18"/>
          <w:color w:val="auto"/>
        </w:rPr>
      </w:pPr>
    </w:p>
    <w:p>
      <w:pPr>
        <w:ind w:left="5580" w:hanging="136"/>
        <w:spacing w:after="0"/>
        <w:tabs>
          <w:tab w:leader="none" w:pos="5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Details</w:t>
      </w:r>
    </w:p>
    <w:p>
      <w:pPr>
        <w:spacing w:after="0" w:line="20"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8"/>
          <w:szCs w:val="18"/>
          <w:color w:val="auto"/>
        </w:rPr>
        <w:t>ECARX will host a webcast of its earnings conference call today, Tuesday, August 26, 2025, at 8:00 a.m. EST. To access the webcast, visit the News and Events section of the ECARX Investor Relations website, or visit the following link – https://edge.media-server.com/mmc/p/wyrqh6ei</w:t>
      </w:r>
    </w:p>
    <w:p>
      <w:pPr>
        <w:spacing w:after="0" w:line="222" w:lineRule="exact"/>
        <w:rPr>
          <w:sz w:val="20"/>
          <w:szCs w:val="20"/>
          <w:color w:val="auto"/>
        </w:rPr>
      </w:pPr>
    </w:p>
    <w:p>
      <w:pPr>
        <w:ind w:right="4200"/>
        <w:spacing w:after="0" w:line="312" w:lineRule="auto"/>
        <w:rPr>
          <w:sz w:val="20"/>
          <w:szCs w:val="20"/>
          <w:color w:val="auto"/>
        </w:rPr>
      </w:pPr>
      <w:r>
        <w:rPr>
          <w:rFonts w:ascii="Times New Roman" w:cs="Times New Roman" w:eastAsia="Times New Roman" w:hAnsi="Times New Roman"/>
          <w:sz w:val="17"/>
          <w:szCs w:val="17"/>
          <w:color w:val="auto"/>
        </w:rPr>
        <w:t>To join the earnings call by telephone, participants must preregister at https://register-conf.media-server.com/register/BI2a1561151374408b820302a131f38b09 to receive dial-in information.</w:t>
      </w:r>
    </w:p>
    <w:p>
      <w:pPr>
        <w:spacing w:after="0" w:line="167" w:lineRule="exact"/>
        <w:rPr>
          <w:sz w:val="20"/>
          <w:szCs w:val="20"/>
          <w:color w:val="auto"/>
        </w:rPr>
      </w:pPr>
    </w:p>
    <w:p>
      <w:pPr>
        <w:ind w:right="2320"/>
        <w:spacing w:after="0" w:line="282" w:lineRule="auto"/>
        <w:rPr>
          <w:sz w:val="20"/>
          <w:szCs w:val="20"/>
          <w:color w:val="auto"/>
        </w:rPr>
      </w:pPr>
      <w:r>
        <w:rPr>
          <w:rFonts w:ascii="Times New Roman" w:cs="Times New Roman" w:eastAsia="Times New Roman" w:hAnsi="Times New Roman"/>
          <w:sz w:val="18"/>
          <w:szCs w:val="18"/>
          <w:color w:val="auto"/>
        </w:rPr>
        <w:t>A replay of the webcast and presentation materials will be available on the Company’s Investor Relations website under the results and reports section following the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ECARX</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090909"/>
        </w:rPr>
        <w:t>ECARX (Nasdaq: ECX) is a global automotive technology provider with capabilities to deliver turnkey solutions for next-generation smart vehicles, from the system on a chip (SoC), to central computing platforms, and software. As automakers develop new electric vehicle architectures from the ground up, ECARX is developing full-stack solutions to enhance the user experience, while reducing complexity and cost.</w:t>
      </w:r>
    </w:p>
    <w:p>
      <w:pPr>
        <w:spacing w:after="0" w:line="20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090909"/>
        </w:rPr>
        <w:t xml:space="preserve">Founded in </w:t>
      </w:r>
      <w:r>
        <w:rPr>
          <w:rFonts w:ascii="Times New Roman" w:cs="Times New Roman" w:eastAsia="Times New Roman" w:hAnsi="Times New Roman"/>
          <w:sz w:val="18"/>
          <w:szCs w:val="18"/>
          <w:color w:val="000000"/>
        </w:rPr>
        <w:t>2017</w:t>
      </w:r>
      <w:r>
        <w:rPr>
          <w:rFonts w:ascii="Times New Roman" w:cs="Times New Roman" w:eastAsia="Times New Roman" w:hAnsi="Times New Roman"/>
          <w:sz w:val="18"/>
          <w:szCs w:val="18"/>
          <w:color w:val="090909"/>
        </w:rPr>
        <w:t xml:space="preserve"> and listed on the Nasdaq in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090909"/>
        </w:rPr>
        <w:t xml:space="preserve">, ECARX now has over </w:t>
      </w:r>
      <w:r>
        <w:rPr>
          <w:rFonts w:ascii="Times New Roman" w:cs="Times New Roman" w:eastAsia="Times New Roman" w:hAnsi="Times New Roman"/>
          <w:sz w:val="18"/>
          <w:szCs w:val="18"/>
          <w:color w:val="000000"/>
        </w:rPr>
        <w:t>1,600</w:t>
      </w:r>
      <w:r>
        <w:rPr>
          <w:rFonts w:ascii="Times New Roman" w:cs="Times New Roman" w:eastAsia="Times New Roman" w:hAnsi="Times New Roman"/>
          <w:sz w:val="18"/>
          <w:szCs w:val="18"/>
          <w:color w:val="090909"/>
        </w:rPr>
        <w:t xml:space="preserve"> employees based in </w:t>
      </w:r>
      <w:r>
        <w:rPr>
          <w:rFonts w:ascii="Times New Roman" w:cs="Times New Roman" w:eastAsia="Times New Roman" w:hAnsi="Times New Roman"/>
          <w:sz w:val="18"/>
          <w:szCs w:val="18"/>
          <w:color w:val="000000"/>
        </w:rPr>
        <w:t>13</w:t>
      </w:r>
      <w:r>
        <w:rPr>
          <w:rFonts w:ascii="Times New Roman" w:cs="Times New Roman" w:eastAsia="Times New Roman" w:hAnsi="Times New Roman"/>
          <w:sz w:val="18"/>
          <w:szCs w:val="18"/>
          <w:color w:val="090909"/>
        </w:rPr>
        <w:t xml:space="preserve"> major locations in China, UK, USA, Singapore, Malaysia, Sweden and Germany. The co-founders are two automotive entrepreneurs, Chairman and CEO Ziyu Shen, and Eric Li (Li Shufu), who is also the founder and chairman of Zhejiang Geely Holding Group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90909"/>
        </w:rPr>
        <w:t xml:space="preserve"> with ownership interests in global brands including Lotus, Lynk &amp; Co, Geely Galaxy, Polestar, smart, and Volvo Cars. ECARX also works with other well-known automakers, including Volkswagen Group, FAW Group and Dongfeng Peugeot-Citroën. To date, ECARX products can be found in over </w:t>
      </w:r>
      <w:r>
        <w:rPr>
          <w:rFonts w:ascii="Times New Roman" w:cs="Times New Roman" w:eastAsia="Times New Roman" w:hAnsi="Times New Roman"/>
          <w:sz w:val="18"/>
          <w:szCs w:val="18"/>
          <w:color w:val="000000"/>
        </w:rPr>
        <w:t>9.3</w:t>
      </w:r>
      <w:r>
        <w:rPr>
          <w:rFonts w:ascii="Times New Roman" w:cs="Times New Roman" w:eastAsia="Times New Roman" w:hAnsi="Times New Roman"/>
          <w:sz w:val="18"/>
          <w:szCs w:val="18"/>
          <w:color w:val="090909"/>
        </w:rPr>
        <w:t xml:space="preserve"> million vehicles worldwide.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spacing w:after="0" w:line="20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a discussion of these and other risks and uncertainties that could cause actual results to differ materially from those expressed in any forward-looking statement, see ECARX’s filings with the U.S. Securities and Exchange Commission.</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40"/>
          </w:cols>
          <w:pgMar w:left="320" w:top="931" w:right="339" w:bottom="1440" w:gutter="0" w:footer="0" w:header="0"/>
        </w:sectPr>
      </w:pPr>
    </w:p>
    <w:bookmarkStart w:id="7" w:name="page8"/>
    <w:bookmarkEnd w:id="7"/>
    <w:p>
      <w:pPr>
        <w:ind w:right="460"/>
        <w:spacing w:after="0" w:line="282" w:lineRule="auto"/>
        <w:rPr>
          <w:sz w:val="20"/>
          <w:szCs w:val="20"/>
          <w:color w:val="auto"/>
        </w:rPr>
      </w:pPr>
      <w:r>
        <w:rPr>
          <w:rFonts w:ascii="Times New Roman" w:cs="Times New Roman" w:eastAsia="Times New Roman" w:hAnsi="Times New Roman"/>
          <w:sz w:val="18"/>
          <w:szCs w:val="18"/>
          <w:color w:val="auto"/>
        </w:rPr>
        <w:t>ECARX undertakes no obligation to update or revise forward-looking statements to reflect subsequent events or circumstances, except as required by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uses adjusted EBITDA (non-GAAP) in evaluating its operating results and for financial and operational decision-making purposes. Adjusted EBITDA is defined as net loss excluding interest income, interest expense, income tax expense, depreciation of property and equipment, amortization of intangible assets, and share-based compensation expenses.</w:t>
      </w:r>
    </w:p>
    <w:p>
      <w:pPr>
        <w:spacing w:after="0" w:line="20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presents this non-GAAP financial measure because it is used by the management to evaluate the Company’s operating performance and formulate business plans. The Company believes that the non-GAAP measure helps identify underlying trends in its business that could otherwise be distorted by the effects of certain expenses that are included in net loss. The Company also believes that the use of the non-GAAP measure facilitates investors’ assessment of its operating performance.</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EBITDA (non-GAAP) should not be considered in isolation or construed as alternatives to net loss or any other measures of performance or as indicators of the Company’s operating performance. Investors are encouraged to compare the Company’s historical adjusted EBITDA (non-GAAP) to the most directly comparable GAAP measure, net loss. Adjusted EBITDA (non-GAAP)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financial information in its entirety and not rely on a single financial measure.</w:t>
      </w:r>
    </w:p>
    <w:p>
      <w:pPr>
        <w:spacing w:after="0" w:line="21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 please see the table captioned “Unaudited Reconciliation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90909"/>
        </w:rPr>
        <w:t>Rene Du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ir@ecarxgroup.com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ecarx@christensencomms.com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40"/>
          </w:cols>
          <w:pgMar w:left="320" w:top="9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ECARX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1"/>
        </w:trPr>
        <w:tc>
          <w:tcPr>
            <w:tcW w:w="7480" w:type="dxa"/>
            <w:vAlign w:val="bottom"/>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00" w:type="dxa"/>
            <w:vAlign w:val="bottom"/>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44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except otherwise noted</w:t>
            </w: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 third parties, net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 related parties, net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386.1</w:t>
            </w:r>
          </w:p>
        </w:tc>
        <w:tc>
          <w:tcPr>
            <w:tcW w:w="2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386.0</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74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 – third parties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 related parties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128.3</w:t>
            </w:r>
          </w:p>
        </w:tc>
        <w:tc>
          <w:tcPr>
            <w:tcW w:w="2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514.4</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third parties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 related parties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 third parties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 related parties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payable-current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698.7</w:t>
            </w:r>
          </w:p>
        </w:tc>
        <w:tc>
          <w:tcPr>
            <w:tcW w:w="2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733.2</w:t>
            </w:r>
          </w:p>
        </w:tc>
      </w:tr>
      <w:tr>
        <w:trPr>
          <w:trHeight w:val="237"/>
        </w:trPr>
        <w:tc>
          <w:tcPr>
            <w:tcW w:w="74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 related parties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non-current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 - third parties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ECARX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Balance Sheets (continued)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0" w:type="dxa"/>
            <w:vAlign w:val="bottom"/>
          </w:tcPr>
          <w:p>
            <w:pPr>
              <w:spacing w:after="0"/>
              <w:rPr>
                <w:sz w:val="17"/>
                <w:szCs w:val="17"/>
                <w:color w:val="auto"/>
              </w:rPr>
            </w:pPr>
          </w:p>
        </w:tc>
      </w:tr>
      <w:tr>
        <w:trPr>
          <w:trHeight w:val="241"/>
        </w:trPr>
        <w:tc>
          <w:tcPr>
            <w:tcW w:w="7480" w:type="dxa"/>
            <w:vAlign w:val="bottom"/>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00" w:type="dxa"/>
            <w:vAlign w:val="bottom"/>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40" w:type="dxa"/>
            <w:vAlign w:val="bottom"/>
          </w:tcPr>
          <w:p>
            <w:pPr>
              <w:spacing w:after="0"/>
              <w:rPr>
                <w:sz w:val="20"/>
                <w:szCs w:val="20"/>
                <w:color w:val="auto"/>
              </w:rPr>
            </w:pPr>
          </w:p>
        </w:tc>
      </w:tr>
      <w:tr>
        <w:trPr>
          <w:trHeight w:val="44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except otherwise noted</w:t>
            </w: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40" w:type="dxa"/>
            <w:vAlign w:val="bottom"/>
          </w:tcPr>
          <w:p>
            <w:pPr>
              <w:spacing w:after="0"/>
              <w:rPr>
                <w:sz w:val="19"/>
                <w:szCs w:val="19"/>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752.1</w:t>
            </w:r>
          </w:p>
        </w:tc>
        <w:tc>
          <w:tcPr>
            <w:tcW w:w="2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790.4</w:t>
            </w:r>
          </w:p>
        </w:tc>
        <w:tc>
          <w:tcPr>
            <w:tcW w:w="40" w:type="dxa"/>
            <w:vAlign w:val="bottom"/>
          </w:tcPr>
          <w:p>
            <w:pPr>
              <w:spacing w:after="0"/>
              <w:rPr>
                <w:sz w:val="19"/>
                <w:szCs w:val="19"/>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74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4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shares, at cost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4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19"/>
                <w:szCs w:val="19"/>
                <w:color w:val="auto"/>
              </w:rPr>
            </w:pPr>
          </w:p>
        </w:tc>
      </w:tr>
      <w:tr>
        <w:trPr>
          <w:trHeight w:val="22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deficit attributable to ordinary shareholders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(242.4)</w:t>
            </w:r>
          </w:p>
        </w:tc>
        <w:tc>
          <w:tcPr>
            <w:tcW w:w="2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(296.3)</w:t>
            </w:r>
          </w:p>
        </w:tc>
        <w:tc>
          <w:tcPr>
            <w:tcW w:w="40" w:type="dxa"/>
            <w:vAlign w:val="bottom"/>
          </w:tcPr>
          <w:p>
            <w:pPr>
              <w:spacing w:after="0"/>
              <w:rPr>
                <w:sz w:val="19"/>
                <w:szCs w:val="19"/>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Non-redeemable noncontrolling interests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r>
      <w:tr>
        <w:trPr>
          <w:trHeight w:val="22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(237.7)</w:t>
            </w:r>
          </w:p>
        </w:tc>
        <w:tc>
          <w:tcPr>
            <w:tcW w:w="2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(295.2)</w:t>
            </w:r>
          </w:p>
        </w:tc>
        <w:tc>
          <w:tcPr>
            <w:tcW w:w="40" w:type="dxa"/>
            <w:vAlign w:val="bottom"/>
          </w:tcPr>
          <w:p>
            <w:pPr>
              <w:spacing w:after="0"/>
              <w:rPr>
                <w:sz w:val="19"/>
                <w:szCs w:val="19"/>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514.4</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495.2</w:t>
            </w:r>
          </w:p>
        </w:tc>
        <w:tc>
          <w:tcPr>
            <w:tcW w:w="40" w:type="dxa"/>
            <w:vAlign w:val="bottom"/>
          </w:tcPr>
          <w:p>
            <w:pPr>
              <w:spacing w:after="0"/>
              <w:rPr>
                <w:sz w:val="21"/>
                <w:szCs w:val="2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69"/>
        </w:trPr>
        <w:tc>
          <w:tcPr>
            <w:tcW w:w="7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w:t>
            </w:r>
          </w:p>
        </w:tc>
      </w:tr>
    </w:tbl>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ECARX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Comprehensive Loss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shd w:val="clear" w:color="auto" w:fill="CCEEFF"/>
          </w:tcPr>
          <w:p>
            <w:pPr>
              <w:spacing w:after="0"/>
              <w:rPr>
                <w:sz w:val="17"/>
                <w:szCs w:val="17"/>
                <w:color w:val="auto"/>
              </w:rPr>
            </w:pPr>
          </w:p>
        </w:tc>
        <w:tc>
          <w:tcPr>
            <w:tcW w:w="3020" w:type="dxa"/>
            <w:vAlign w:val="bottom"/>
            <w:gridSpan w:val="4"/>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560" w:type="dxa"/>
            <w:vAlign w:val="bottom"/>
            <w:gridSpan w:val="4"/>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5560" w:type="dxa"/>
            <w:vAlign w:val="bottom"/>
            <w:shd w:val="clear" w:color="auto" w:fill="CCEEFF"/>
          </w:tcPr>
          <w:p>
            <w:pPr>
              <w:spacing w:after="0"/>
              <w:rPr>
                <w:sz w:val="20"/>
                <w:szCs w:val="20"/>
                <w:color w:val="auto"/>
              </w:rPr>
            </w:pPr>
          </w:p>
        </w:tc>
        <w:tc>
          <w:tcPr>
            <w:tcW w:w="1840" w:type="dxa"/>
            <w:vAlign w:val="bottom"/>
            <w:tcBorders>
              <w:bottom w:val="single" w:sz="8" w:color="auto"/>
            </w:tcBorders>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gridSpan w:val="3"/>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shd w:val="clear" w:color="auto" w:fill="CCEEFF"/>
          </w:tcPr>
          <w:p>
            <w:pPr>
              <w:spacing w:after="0"/>
              <w:rPr>
                <w:sz w:val="20"/>
                <w:szCs w:val="20"/>
                <w:color w:val="auto"/>
              </w:rPr>
            </w:pPr>
          </w:p>
        </w:tc>
      </w:tr>
      <w:tr>
        <w:trPr>
          <w:trHeight w:val="225"/>
        </w:trPr>
        <w:tc>
          <w:tcPr>
            <w:tcW w:w="55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Millions, except share data and per share data, or otherwise noted</w:t>
            </w:r>
          </w:p>
        </w:tc>
        <w:tc>
          <w:tcPr>
            <w:tcW w:w="1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 revenue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license revenue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323.3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155.6</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(226.9)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software licenses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(273.3)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(138.8)</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r>
      <w:tr>
        <w:trPr>
          <w:trHeight w:val="250"/>
        </w:trPr>
        <w:tc>
          <w:tcPr>
            <w:tcW w:w="5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and others, net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(46.8)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(115.1)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(65.1)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r>
      <w:tr>
        <w:trPr>
          <w:trHeight w:val="250"/>
        </w:trPr>
        <w:tc>
          <w:tcPr>
            <w:tcW w:w="55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results of equity method investments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(70.5)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ECARX Holdings Inc. ordinary shareholders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(69.0)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 net of nil income taxes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(77.8)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non-redeemable noncontrolling interests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ECARX Holdings Inc.</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(74.2)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Basic and diluted loss per share, ordinary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(0.20)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r>
      <w:tr>
        <w:trPr>
          <w:trHeight w:val="203"/>
        </w:trPr>
        <w:tc>
          <w:tcPr>
            <w:tcW w:w="55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loss</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ordinary share</w:t>
            </w: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Weighted average number of ordinary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337,935,301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337,210,153</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337,973,311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341,773,717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ECARX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Reconciliation of GAAP and Non-GAAP Results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use adjusted EBITDA in evaluating our operating results and for financial and operational decision-making purposes. Adjusted EBITDA is defined as net loss excluding interest income, interest expense, income tax expense, depreciation of property and equipment, amortization of intangible assets, and share-based compensation expenses.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in isolation or construed as alternatives to net loss or any other measures of performance or as indicators of our operating performance. Investors are encouraged to compare our historical adjusted EBITDA to the most directly comparable GAAP measure, net loss. Adjusted EBITDA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3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680" w:type="dxa"/>
            <w:vAlign w:val="bottom"/>
          </w:tcPr>
          <w:p>
            <w:pPr>
              <w:spacing w:after="0"/>
              <w:rPr>
                <w:sz w:val="17"/>
                <w:szCs w:val="17"/>
                <w:color w:val="auto"/>
              </w:rPr>
            </w:pPr>
          </w:p>
        </w:tc>
        <w:tc>
          <w:tcPr>
            <w:tcW w:w="25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55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25"/>
        </w:trPr>
        <w:tc>
          <w:tcPr>
            <w:tcW w:w="5560" w:type="dxa"/>
            <w:vAlign w:val="bottom"/>
            <w:shd w:val="clear" w:color="auto" w:fill="CCEEFF"/>
          </w:tcPr>
          <w:p>
            <w:pPr>
              <w:spacing w:after="0"/>
              <w:rPr>
                <w:sz w:val="19"/>
                <w:szCs w:val="19"/>
                <w:color w:val="auto"/>
              </w:rPr>
            </w:pP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50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 except otherwise noted</w:t>
            </w:r>
          </w:p>
        </w:tc>
        <w:tc>
          <w:tcPr>
            <w:tcW w:w="8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US$</w:t>
            </w:r>
          </w:p>
        </w:tc>
        <w:tc>
          <w:tcPr>
            <w:tcW w:w="6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(84.6)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6"/>
              </w:rPr>
              <w:t>(72.6)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Pr>
          <w:p>
            <w:pPr>
              <w:spacing w:after="0"/>
              <w:rPr>
                <w:sz w:val="19"/>
                <w:szCs w:val="19"/>
                <w:color w:val="auto"/>
              </w:rPr>
            </w:pPr>
          </w:p>
        </w:tc>
        <w:tc>
          <w:tcPr>
            <w:tcW w:w="150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(69.9)</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6"/>
              </w:rPr>
              <w:t>(50.8)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(60.1)</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6"/>
              </w:rPr>
              <w:t>(44.3)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20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8/7</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2025-08-26T06:07:59Z</dcterms:created>
  <dcterms:modified xsi:type="dcterms:W3CDTF">2025-08-26T06:07:59Z</dcterms:modified>
</cp:coreProperties>
</file>