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left="560"/>
        <w:spacing w:after="0" w:line="27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9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October 2026</w:t>
      </w:r>
    </w:p>
    <w:p>
      <w:pPr>
        <w:spacing w:after="0" w:line="27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Second Floor North</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International House</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 St. Katharine’s Way</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London E1W 1UN</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60" w:lineRule="exact"/>
        <w:rPr>
          <w:sz w:val="24"/>
          <w:szCs w:val="24"/>
          <w:color w:val="auto"/>
        </w:rPr>
      </w:pPr>
    </w:p>
    <w:p>
      <w:pPr>
        <w:jc w:val="center"/>
        <w:ind w:right="-219"/>
        <w:spacing w:after="0"/>
        <w:tabs>
          <w:tab w:leader="none" w:pos="3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ectPr>
          <w:pgSz w:w="11900" w:h="16838" w:orient="portrait"/>
          <w:cols w:equalWidth="0" w:num="1">
            <w:col w:w="11020"/>
          </w:cols>
          <w:pgMar w:left="320" w:top="1440" w:right="559" w:bottom="1440" w:gutter="0" w:footer="0" w:header="0"/>
        </w:sectPr>
      </w:pPr>
    </w:p>
    <w:bookmarkStart w:id="1" w:name="page2"/>
    <w:bookmarkEnd w:id="1"/>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INFORMATION CONTAINED IN THIS REPORT ON FORM 6-K</w:t>
      </w:r>
    </w:p>
    <w:p>
      <w:pPr>
        <w:spacing w:after="0" w:line="2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sectPr>
          <w:pgSz w:w="11900" w:h="16838" w:orient="portrait"/>
          <w:cols w:equalWidth="0" w:num="1">
            <w:col w:w="11140"/>
          </w:cols>
          <w:pgMar w:left="320" w:top="1440" w:right="439" w:bottom="1440" w:gutter="0" w:footer="0" w:header="0"/>
        </w:sectPr>
      </w:pPr>
    </w:p>
    <w:bookmarkStart w:id="2" w:name="page3"/>
    <w:bookmarkEnd w:id="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75"/>
        </w:trPr>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43"/>
        </w:trPr>
        <w:tc>
          <w:tcPr>
            <w:tcW w:w="4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99.</w:t>
            </w:r>
            <w:r>
              <w:rPr>
                <w:rFonts w:ascii="Times New Roman" w:cs="Times New Roman" w:eastAsia="Times New Roman" w:hAnsi="Times New Roman"/>
                <w:sz w:val="22"/>
                <w:szCs w:val="22"/>
                <w:u w:val="single" w:color="auto"/>
                <w:color w:val="auto"/>
              </w:rPr>
              <w:t>1</w:t>
            </w:r>
          </w:p>
        </w:tc>
        <w:tc>
          <w:tcPr>
            <w:tcW w:w="1140" w:type="dxa"/>
            <w:vAlign w:val="bottom"/>
          </w:tcPr>
          <w:p>
            <w:pPr>
              <w:spacing w:after="0"/>
              <w:rPr>
                <w:sz w:val="21"/>
                <w:szCs w:val="21"/>
                <w:color w:val="auto"/>
              </w:rPr>
            </w:pPr>
          </w:p>
        </w:tc>
        <w:tc>
          <w:tcPr>
            <w:tcW w:w="8940" w:type="dxa"/>
            <w:vAlign w:val="bottom"/>
          </w:tcPr>
          <w:p>
            <w:pPr>
              <w:ind w:left="200"/>
              <w:spacing w:after="0" w:line="223" w:lineRule="exact"/>
              <w:rPr>
                <w:sz w:val="20"/>
                <w:szCs w:val="20"/>
                <w:color w:val="auto"/>
              </w:rPr>
            </w:pPr>
            <w:r>
              <w:rPr>
                <w:rFonts w:ascii="Times New Roman" w:cs="Times New Roman" w:eastAsia="Times New Roman" w:hAnsi="Times New Roman"/>
                <w:sz w:val="22"/>
                <w:szCs w:val="22"/>
                <w:color w:val="auto"/>
              </w:rPr>
              <w:t>ECARX Announces Settlement in Full of Senior Convertible Note at Maturity</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bl>
    <w:p>
      <w:pPr>
        <w:sectPr>
          <w:pgSz w:w="11900" w:h="16838" w:orient="portrait"/>
          <w:cols w:equalWidth="0" w:num="1">
            <w:col w:w="10540"/>
          </w:cols>
          <w:pgMar w:left="320" w:top="1440" w:right="1039" w:bottom="1440" w:gutter="0" w:footer="0" w:header="0"/>
        </w:sectPr>
      </w:pPr>
    </w:p>
    <w:bookmarkStart w:id="3" w:name="page4"/>
    <w:bookmarkEnd w:id="3"/>
    <w:p>
      <w:pPr>
        <w:spacing w:after="0" w:line="1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334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Dylan D. Jeng</w:t>
            </w:r>
          </w:p>
        </w:tc>
      </w:tr>
      <w:tr>
        <w:trPr>
          <w:trHeight w:val="29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Dylan D. Jeng</w:t>
            </w: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30, 2026</w:t>
      </w:r>
    </w:p>
    <w:p>
      <w:pPr>
        <w:sectPr>
          <w:pgSz w:w="11900" w:h="16838" w:orient="portrait"/>
          <w:cols w:equalWidth="0" w:num="1">
            <w:col w:w="10660"/>
          </w:cols>
          <w:pgMar w:left="320" w:top="1440" w:right="919" w:bottom="1440" w:gutter="0" w:footer="0" w:header="0"/>
        </w:sectPr>
      </w:pPr>
    </w:p>
    <w:bookmarkStart w:id="4" w:name="page5"/>
    <w:bookmarkEnd w:id="4"/>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ECARX Announces Settlement in Full of Senior Convertible Note at Maturity</w:t>
      </w:r>
    </w:p>
    <w:p>
      <w:pPr>
        <w:spacing w:after="0" w:line="150"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London, October 30, 2026 — ECARX Holdings Inc. (Nasdaq: ECX) (“ECARX” or the “Company”), a leading global automotive intelligence business, today announced that the US$50 million senior convertible note (the “Note”) issued to a U.S. based institutional investor (the “Investor”) under the securities purchase agreement, dated October 30, 2025 between the Investor and the Company (the “Securities Purchase Agreement”), have matured on October 30, 2026 and that the Company has settled in full all amounts outstanding thereunder.</w:t>
      </w:r>
    </w:p>
    <w:p>
      <w:pPr>
        <w:spacing w:after="0" w:line="67" w:lineRule="exact"/>
        <w:rPr>
          <w:sz w:val="20"/>
          <w:szCs w:val="20"/>
          <w:color w:val="auto"/>
        </w:rPr>
      </w:pPr>
    </w:p>
    <w:p>
      <w:pPr>
        <w:ind w:right="20"/>
        <w:spacing w:after="0" w:line="291" w:lineRule="auto"/>
        <w:rPr>
          <w:sz w:val="20"/>
          <w:szCs w:val="20"/>
          <w:color w:val="auto"/>
        </w:rPr>
      </w:pPr>
      <w:r>
        <w:rPr>
          <w:rFonts w:ascii="Arial" w:cs="Arial" w:eastAsia="Arial" w:hAnsi="Arial"/>
          <w:sz w:val="20"/>
          <w:szCs w:val="20"/>
          <w:color w:val="auto"/>
        </w:rPr>
        <w:t>On the maturity date, the Note was repaid in full and cancelled in accordance with its terms, and no notes issued under the Securities Purchase Agreement remain outstanding. As previously announced, the Company and the Investor also entered into a limited waiver agreement, dated October 14, 2026 (the “Waiver Agreement”), under which the Investor irrevocably waived all of its rights to deliver any additional closing notice and to purchase, or to require the Company to issue and sell, any additional notes at any additional closing under the Securities Purchase Agreement . The Company has paid the US$10 million waiver consideration to the Investor in full. As a result, the Waiver Agreement has become effective in accordance with its terms and no further notes will be issued under the Securities Purchase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Dylan Jeng, CFO commented:</w:t>
      </w:r>
    </w:p>
    <w:p>
      <w:pPr>
        <w:spacing w:after="0" w:line="150" w:lineRule="exact"/>
        <w:rPr>
          <w:sz w:val="20"/>
          <w:szCs w:val="20"/>
          <w:color w:val="auto"/>
        </w:rPr>
      </w:pPr>
    </w:p>
    <w:p>
      <w:pPr>
        <w:ind w:right="180"/>
        <w:spacing w:after="0" w:line="305" w:lineRule="auto"/>
        <w:rPr>
          <w:sz w:val="20"/>
          <w:szCs w:val="20"/>
          <w:color w:val="auto"/>
        </w:rPr>
      </w:pPr>
      <w:r>
        <w:rPr>
          <w:rFonts w:ascii="Arial" w:cs="Arial" w:eastAsia="Arial" w:hAnsi="Arial"/>
          <w:sz w:val="20"/>
          <w:szCs w:val="20"/>
          <w:color w:val="auto"/>
        </w:rPr>
        <w:t>“The remaining balance was paid in cash, in line with our commitment to protecting shareholder value and limiting dilution. Together with the termination of the additional notes earlier this month, this simplifies our capital structure and gives us greater financial flexibility as we focus on executing our growth strategy and improving profitability.”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ECARX</w:t>
      </w:r>
    </w:p>
    <w:p>
      <w:pPr>
        <w:spacing w:after="0" w:line="150"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spacing w:after="0" w:line="67" w:lineRule="exact"/>
        <w:rPr>
          <w:sz w:val="20"/>
          <w:szCs w:val="20"/>
          <w:color w:val="auto"/>
        </w:rPr>
      </w:pPr>
    </w:p>
    <w:p>
      <w:pPr>
        <w:ind w:right="120"/>
        <w:spacing w:after="0" w:line="297" w:lineRule="auto"/>
        <w:rPr>
          <w:sz w:val="20"/>
          <w:szCs w:val="20"/>
          <w:color w:val="auto"/>
        </w:rPr>
      </w:pPr>
      <w:r>
        <w:rPr>
          <w:rFonts w:ascii="Arial" w:cs="Arial" w:eastAsia="Arial" w:hAnsi="Arial"/>
          <w:sz w:val="20"/>
          <w:szCs w:val="20"/>
          <w:color w:val="auto"/>
        </w:rPr>
        <w:t>As automakers transition to software-first and AI-first vehicle architectures, ECARX empowers automakers to streamline integration, reduce systemic complexity and optimize long-term cost efficiency. ECARX’s proven technology is deployed across over 12 million vehicles worldwide, and is currently partnered with 18 global automakers and 28 vehicle brands to shape the future of automotive intelligence.</w:t>
      </w:r>
    </w:p>
    <w:p>
      <w:pPr>
        <w:sectPr>
          <w:pgSz w:w="11900" w:h="16838" w:orient="portrait"/>
          <w:cols w:equalWidth="0" w:num="1">
            <w:col w:w="11220"/>
          </w:cols>
          <w:pgMar w:left="320" w:top="1440" w:right="359" w:bottom="1440" w:gutter="0" w:footer="0" w:header="0"/>
        </w:sectPr>
      </w:pPr>
    </w:p>
    <w:bookmarkStart w:id="5" w:name="page6"/>
    <w:bookmarkEnd w:id="5"/>
    <w:p>
      <w:pPr>
        <w:spacing w:after="0" w:line="150" w:lineRule="exact"/>
        <w:rPr>
          <w:sz w:val="20"/>
          <w:szCs w:val="20"/>
          <w:color w:val="auto"/>
        </w:rPr>
      </w:pPr>
    </w:p>
    <w:p>
      <w:pPr>
        <w:ind w:right="560"/>
        <w:spacing w:after="0" w:line="314" w:lineRule="auto"/>
        <w:rPr>
          <w:sz w:val="20"/>
          <w:szCs w:val="20"/>
          <w:color w:val="auto"/>
        </w:rPr>
      </w:pPr>
      <w:r>
        <w:rPr>
          <w:rFonts w:ascii="Arial" w:cs="Arial" w:eastAsia="Arial" w:hAnsi="Arial"/>
          <w:sz w:val="20"/>
          <w:szCs w:val="20"/>
          <w:color w:val="auto"/>
        </w:rPr>
        <w:t>Founded in 2017 and listed on Nasdaq in 2022, ECARX operates from 15 major international locations across Europe, the Americas and Asia, with a global team of over 1,400 employees.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Safe Harbor Statement</w:t>
      </w:r>
    </w:p>
    <w:p>
      <w:pPr>
        <w:spacing w:after="0" w:line="162" w:lineRule="exact"/>
        <w:rPr>
          <w:sz w:val="20"/>
          <w:szCs w:val="20"/>
          <w:color w:val="auto"/>
        </w:rPr>
      </w:pPr>
    </w:p>
    <w:p>
      <w:pPr>
        <w:spacing w:after="0" w:line="307" w:lineRule="auto"/>
        <w:rPr>
          <w:sz w:val="20"/>
          <w:szCs w:val="20"/>
          <w:color w:val="auto"/>
        </w:rPr>
      </w:pPr>
      <w:r>
        <w:rPr>
          <w:rFonts w:ascii="Arial" w:cs="Arial" w:eastAsia="Arial" w:hAnsi="Arial"/>
          <w:sz w:val="19"/>
          <w:szCs w:val="19"/>
          <w:color w:val="auto"/>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spacing w:after="0" w:line="58" w:lineRule="exact"/>
        <w:rPr>
          <w:sz w:val="20"/>
          <w:szCs w:val="20"/>
          <w:color w:val="auto"/>
        </w:rPr>
      </w:pPr>
    </w:p>
    <w:p>
      <w:pPr>
        <w:ind w:right="180"/>
        <w:spacing w:after="0" w:line="297" w:lineRule="auto"/>
        <w:rPr>
          <w:sz w:val="20"/>
          <w:szCs w:val="20"/>
          <w:color w:val="auto"/>
        </w:rPr>
      </w:pPr>
      <w:r>
        <w:rPr>
          <w:rFonts w:ascii="Arial" w:cs="Arial" w:eastAsia="Arial" w:hAnsi="Arial"/>
          <w:sz w:val="20"/>
          <w:szCs w:val="20"/>
          <w:color w:val="auto"/>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ir@ecarxgroup.com</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ecarx@christensencomms.com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2026-10-30T06:11:44Z</dcterms:created>
  <dcterms:modified xsi:type="dcterms:W3CDTF">2026-10-30T06:11:44Z</dcterms:modified>
</cp:coreProperties>
</file>